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E3A397" w14:textId="50A67A43" w:rsidR="0001209A" w:rsidRPr="0001209A" w:rsidRDefault="0001209A" w:rsidP="0001209A">
      <w:pPr>
        <w:ind w:left="720" w:hanging="360"/>
        <w:jc w:val="center"/>
        <w:rPr>
          <w:u w:val="single"/>
        </w:rPr>
      </w:pPr>
      <w:r w:rsidRPr="0001209A">
        <w:rPr>
          <w:u w:val="single"/>
        </w:rPr>
        <w:t>COSISE 21/01/2025</w:t>
      </w:r>
    </w:p>
    <w:p w14:paraId="4F24FC5A" w14:textId="66EBD8A8" w:rsidR="003D5DB0" w:rsidRDefault="0001209A" w:rsidP="003D5DB0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Se seleccione por defecto la primera empresa.</w:t>
      </w:r>
    </w:p>
    <w:p w14:paraId="51422A1A" w14:textId="328F410A" w:rsidR="003D5DB0" w:rsidRDefault="0052097A" w:rsidP="003D5DB0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3CBEE756" wp14:editId="0373E44C">
            <wp:extent cx="5400040" cy="2392070"/>
            <wp:effectExtent l="0" t="0" r="0" b="8255"/>
            <wp:docPr id="1770018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18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2365" cy="23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D956" w14:textId="3497F068" w:rsidR="0052097A" w:rsidRDefault="0052097A" w:rsidP="0052097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En tesorería/caja rápida al seleccionar salida de dinero tipo efectivo que no pida la empresa como requerido.</w:t>
      </w:r>
    </w:p>
    <w:p w14:paraId="7D64328D" w14:textId="60C02CF6" w:rsidR="0052097A" w:rsidRDefault="0052097A" w:rsidP="0052097A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4789C198" wp14:editId="7E68C6AF">
            <wp:extent cx="5398987" cy="2304288"/>
            <wp:effectExtent l="0" t="0" r="0" b="1270"/>
            <wp:docPr id="9198760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760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4232" cy="231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2B30A" w14:textId="12099618" w:rsidR="0052097A" w:rsidRDefault="00285FAD" w:rsidP="0052097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Al momento de elegir una serie distinta a V, que permita editar el correlativo y validar que no intente enviar a SUNAT.</w:t>
      </w:r>
    </w:p>
    <w:p w14:paraId="2149EDB3" w14:textId="2C2DA500" w:rsidR="0001209A" w:rsidRDefault="0001209A" w:rsidP="0001209A">
      <w:pPr>
        <w:rPr>
          <w:lang w:val="es-MX"/>
        </w:rPr>
      </w:pPr>
    </w:p>
    <w:p w14:paraId="6E1FC930" w14:textId="59D10CB3" w:rsidR="0001209A" w:rsidRDefault="00823B73" w:rsidP="0001209A">
      <w:pPr>
        <w:rPr>
          <w:lang w:val="es-MX"/>
        </w:rPr>
      </w:pPr>
      <w:r>
        <w:rPr>
          <w:noProof/>
        </w:rPr>
        <w:drawing>
          <wp:inline distT="0" distB="0" distL="0" distR="0" wp14:anchorId="43E102F2" wp14:editId="3985A6C5">
            <wp:extent cx="6188710" cy="1847850"/>
            <wp:effectExtent l="0" t="0" r="2540" b="0"/>
            <wp:docPr id="14391229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229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0AD46" w14:textId="77777777" w:rsidR="0001209A" w:rsidRPr="0001209A" w:rsidRDefault="0001209A" w:rsidP="0001209A">
      <w:pPr>
        <w:rPr>
          <w:lang w:val="es-MX"/>
        </w:rPr>
      </w:pPr>
    </w:p>
    <w:p w14:paraId="5F26C56F" w14:textId="5C466328" w:rsidR="00285FAD" w:rsidRDefault="00285FAD" w:rsidP="00285FAD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Validar que no se llene la información del </w:t>
      </w:r>
      <w:proofErr w:type="spellStart"/>
      <w:r>
        <w:rPr>
          <w:lang w:val="es-MX"/>
        </w:rPr>
        <w:t>subcontratador</w:t>
      </w:r>
      <w:proofErr w:type="spellEnd"/>
      <w:r>
        <w:rPr>
          <w:lang w:val="es-MX"/>
        </w:rPr>
        <w:t xml:space="preserve"> si el cliente coincide con algún remitente o destinatario. </w:t>
      </w:r>
    </w:p>
    <w:p w14:paraId="0B38FBB8" w14:textId="02284FCA" w:rsidR="00285FAD" w:rsidRDefault="00285FAD" w:rsidP="00285FAD">
      <w:pPr>
        <w:pStyle w:val="Prrafodelista"/>
        <w:rPr>
          <w:lang w:val="es-MX"/>
        </w:rPr>
      </w:pPr>
      <w:r>
        <w:rPr>
          <w:noProof/>
        </w:rPr>
        <w:drawing>
          <wp:inline distT="0" distB="0" distL="0" distR="0" wp14:anchorId="567F4F83" wp14:editId="0BC36EE8">
            <wp:extent cx="5399845" cy="2179929"/>
            <wp:effectExtent l="0" t="0" r="0" b="0"/>
            <wp:docPr id="3095735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735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8651" cy="2183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996CD" w14:textId="73FC498C" w:rsidR="0001209A" w:rsidRDefault="0001209A" w:rsidP="0001209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Validar que otros documentos relacionados en guía de transportista, funcionen. Agregar opción a otros (en esta opción puede dejarlo libre el documento de referencia)</w:t>
      </w:r>
    </w:p>
    <w:p w14:paraId="57DC95ED" w14:textId="309E664A" w:rsidR="0001209A" w:rsidRDefault="0001209A" w:rsidP="0001209A">
      <w:pPr>
        <w:rPr>
          <w:lang w:val="es-MX"/>
        </w:rPr>
      </w:pPr>
      <w:r w:rsidRPr="0001209A">
        <w:rPr>
          <w:noProof/>
          <w:lang w:val="es-MX"/>
        </w:rPr>
        <w:drawing>
          <wp:inline distT="0" distB="0" distL="0" distR="0" wp14:anchorId="33F9E091" wp14:editId="4EDBBBDB">
            <wp:extent cx="5917997" cy="2472055"/>
            <wp:effectExtent l="0" t="0" r="698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9094" cy="24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6E40C" w14:textId="386E8D1D" w:rsidR="0001209A" w:rsidRDefault="0001209A" w:rsidP="0001209A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>Los módulos separarlos en Roles y Permisos.</w:t>
      </w:r>
    </w:p>
    <w:p w14:paraId="04285F51" w14:textId="09AD3CA6" w:rsidR="0001209A" w:rsidRDefault="0001209A" w:rsidP="0001209A">
      <w:pPr>
        <w:rPr>
          <w:lang w:val="es-MX"/>
        </w:rPr>
      </w:pPr>
      <w:r w:rsidRPr="0001209A">
        <w:rPr>
          <w:noProof/>
          <w:lang w:val="es-MX"/>
        </w:rPr>
        <w:drawing>
          <wp:inline distT="0" distB="0" distL="0" distR="0" wp14:anchorId="37EB04F6" wp14:editId="7A479838">
            <wp:extent cx="6187289" cy="2516428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00011" cy="2521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C524B" w14:textId="13537813" w:rsidR="00BD3536" w:rsidRDefault="00BD3536" w:rsidP="00BD3536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lastRenderedPageBreak/>
        <w:t xml:space="preserve">Los usuarios suspendidos eliminarlos en BD. Estos usuarios no hicieron nada en el sistema y se retiraron de la empresa. Únicamente </w:t>
      </w:r>
      <w:r w:rsidRPr="00BD3536">
        <w:rPr>
          <w:lang w:val="es-MX"/>
        </w:rPr>
        <w:t>HERBERT VICTOR</w:t>
      </w:r>
      <w:r w:rsidRPr="00BD3536">
        <w:rPr>
          <w:lang w:val="es-MX"/>
        </w:rPr>
        <w:tab/>
        <w:t>MANDUJANO YAURI</w:t>
      </w:r>
      <w:r>
        <w:rPr>
          <w:lang w:val="es-MX"/>
        </w:rPr>
        <w:t>, llenó vehículos.</w:t>
      </w:r>
    </w:p>
    <w:p w14:paraId="04322BA6" w14:textId="19633B37" w:rsidR="00BD3536" w:rsidRPr="00BD3536" w:rsidRDefault="00BD3536" w:rsidP="00BD3536">
      <w:pPr>
        <w:rPr>
          <w:lang w:val="es-MX"/>
        </w:rPr>
      </w:pPr>
      <w:r w:rsidRPr="00BD3536">
        <w:rPr>
          <w:noProof/>
          <w:lang w:val="es-MX"/>
        </w:rPr>
        <w:drawing>
          <wp:inline distT="0" distB="0" distL="0" distR="0" wp14:anchorId="0EE371EB" wp14:editId="29A777C3">
            <wp:extent cx="5969203" cy="234061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475" cy="234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3536" w:rsidRPr="00BD3536" w:rsidSect="0001209A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2283A97"/>
    <w:multiLevelType w:val="hybridMultilevel"/>
    <w:tmpl w:val="97DA00CE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8695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5DB0"/>
    <w:rsid w:val="0001209A"/>
    <w:rsid w:val="00285FAD"/>
    <w:rsid w:val="003D5DB0"/>
    <w:rsid w:val="0052097A"/>
    <w:rsid w:val="00613593"/>
    <w:rsid w:val="007D2DBD"/>
    <w:rsid w:val="00823B73"/>
    <w:rsid w:val="00831EE0"/>
    <w:rsid w:val="00BD3536"/>
    <w:rsid w:val="00F81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61C0D6"/>
  <w15:chartTrackingRefBased/>
  <w15:docId w15:val="{AF6446B2-9DBC-4462-BCC8-E720240E3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D5D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D5D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D5DB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D5D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D5DB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D5D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D5D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D5D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D5D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D5DB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D5DB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D5DB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D5DB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D5DB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D5DB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D5DB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D5DB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D5DB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D5D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D5D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D5D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D5D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D5D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D5DB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D5DB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D5DB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D5DB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D5DB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D5DB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55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125</Words>
  <Characters>693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Titanic Soft</dc:creator>
  <cp:keywords/>
  <dc:description/>
  <cp:lastModifiedBy>Titanic Soft</cp:lastModifiedBy>
  <cp:revision>3</cp:revision>
  <dcterms:created xsi:type="dcterms:W3CDTF">2025-01-22T16:06:00Z</dcterms:created>
  <dcterms:modified xsi:type="dcterms:W3CDTF">2025-01-22T17:40:00Z</dcterms:modified>
</cp:coreProperties>
</file>