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2"/>
        </w:rPr>
        <w:t>Multimodal Explainable AI (XAI) Framework: Collaborative Team Effort</w:t>
      </w:r>
    </w:p>
    <w:p>
      <w:pPr>
        <w:spacing w:before="0" w:after="240"/>
      </w:pPr>
      <w:r>
        <w:rPr>
          <w:rFonts w:ascii="Calibri" w:hAnsi="Calibri"/>
          <w:color w:val="64748B"/>
          <w:sz w:val="22"/>
        </w:rPr>
        <w:t>Dual-Stream Interpretable Architecture: Visual Heatmap Localization (Grad-CAM) &amp; Metadata Attribution (Input × Gradient)</w:t>
      </w:r>
    </w:p>
    <w:tbl>
      <w:tblPr>
        <w:tblW w:type="auto" w:w="0"/>
        <w:jc w:val="center"/>
        <w:tblLayout w:type="autofit"/>
        <w:tblLook w:firstColumn="1" w:firstRow="1" w:lastColumn="0" w:lastRow="0" w:noHBand="0" w:noVBand="1" w:val="04A0"/>
        <w:tblBorders>
          <w:top w:val="single" w:sz="6" w:space="0" w:color="E2E8F0"/>
          <w:left w:val="none"/>
          <w:bottom w:val="single" w:sz="8" w:space="0" w:color="1B365D"/>
          <w:right w:val="none"/>
          <w:insideH w:val="single" w:sz="4" w:space="0" w:color="E2E8F0"/>
          <w:insideV w:val="none"/>
        </w:tblBorders>
      </w:tblPr>
      <w:tblGrid>
        <w:gridCol w:w="1872"/>
        <w:gridCol w:w="1872"/>
        <w:gridCol w:w="1872"/>
        <w:gridCol w:w="1872"/>
        <w:gridCol w:w="1872"/>
      </w:tblGrid>
      <w:tr>
        <w:tc>
          <w:tcPr>
            <w:tcW w:type="dxa" w:w="1872"/>
            <w:shd w:fill="F8FAFC"/>
            <w:tcMar>
              <w:top w:w="80" w:type="dxa"/>
              <w:bottom w:w="80" w:type="dxa"/>
              <w:left w:w="120" w:type="dxa"/>
              <w:right w:w="120" w:type="dxa"/>
            </w:tcMar>
          </w:tcPr>
          <w:p>
            <w:pPr>
              <w:jc w:val="center"/>
            </w:pPr>
            <w:r>
              <w:rPr>
                <w:rFonts w:ascii="Calibri" w:hAnsi="Calibri"/>
                <w:b/>
                <w:color w:val="64748B"/>
                <w:sz w:val="16"/>
              </w:rPr>
              <w:t>PROJECT</w:t>
              <w:br/>
            </w:r>
            <w:r>
              <w:rPr>
                <w:rFonts w:ascii="Calibri" w:hAnsi="Calibri"/>
                <w:b/>
                <w:color w:val="1B365D"/>
                <w:sz w:val="19"/>
              </w:rPr>
              <w:t>GROGU-KYC Fraud Detection</w:t>
            </w:r>
          </w:p>
        </w:tc>
        <w:tc>
          <w:tcPr>
            <w:tcW w:type="dxa" w:w="1872"/>
            <w:shd w:fill="F8FAFC"/>
            <w:tcMar>
              <w:top w:w="80" w:type="dxa"/>
              <w:bottom w:w="80" w:type="dxa"/>
              <w:left w:w="120" w:type="dxa"/>
              <w:right w:w="120" w:type="dxa"/>
            </w:tcMar>
          </w:tcPr>
          <w:p>
            <w:pPr>
              <w:jc w:val="center"/>
            </w:pPr>
            <w:r>
              <w:rPr>
                <w:rFonts w:ascii="Calibri" w:hAnsi="Calibri"/>
                <w:b/>
                <w:color w:val="64748B"/>
                <w:sz w:val="16"/>
              </w:rPr>
              <w:t>DELIVERABLE</w:t>
              <w:br/>
            </w:r>
            <w:r>
              <w:rPr>
                <w:rFonts w:ascii="Calibri" w:hAnsi="Calibri"/>
                <w:b/>
                <w:color w:val="1B365D"/>
                <w:sz w:val="19"/>
              </w:rPr>
              <w:t>Module 2: Team XAI Framework</w:t>
            </w:r>
          </w:p>
        </w:tc>
        <w:tc>
          <w:tcPr>
            <w:tcW w:type="dxa" w:w="1872"/>
            <w:shd w:fill="F8FAFC"/>
            <w:tcMar>
              <w:top w:w="80" w:type="dxa"/>
              <w:bottom w:w="80" w:type="dxa"/>
              <w:left w:w="120" w:type="dxa"/>
              <w:right w:w="120" w:type="dxa"/>
            </w:tcMar>
          </w:tcPr>
          <w:p>
            <w:pPr>
              <w:jc w:val="center"/>
            </w:pPr>
            <w:r>
              <w:rPr>
                <w:rFonts w:ascii="Calibri" w:hAnsi="Calibri"/>
                <w:b/>
                <w:color w:val="64748B"/>
                <w:sz w:val="16"/>
              </w:rPr>
              <w:t>TEAM NO</w:t>
              <w:br/>
            </w:r>
            <w:r>
              <w:rPr>
                <w:rFonts w:ascii="Calibri" w:hAnsi="Calibri"/>
                <w:b/>
                <w:color w:val="1B365D"/>
                <w:sz w:val="19"/>
              </w:rPr>
              <w:t>2</w:t>
            </w:r>
          </w:p>
        </w:tc>
        <w:tc>
          <w:tcPr>
            <w:tcW w:type="dxa" w:w="1872"/>
            <w:shd w:fill="F8FAFC"/>
            <w:tcMar>
              <w:top w:w="80" w:type="dxa"/>
              <w:bottom w:w="80" w:type="dxa"/>
              <w:left w:w="120" w:type="dxa"/>
              <w:right w:w="120" w:type="dxa"/>
            </w:tcMar>
          </w:tcPr>
          <w:p>
            <w:pPr>
              <w:jc w:val="center"/>
            </w:pPr>
            <w:r>
              <w:rPr>
                <w:rFonts w:ascii="Calibri" w:hAnsi="Calibri"/>
                <w:b/>
                <w:color w:val="64748B"/>
                <w:sz w:val="16"/>
              </w:rPr>
              <w:t>STUDENT 1 (VISION)</w:t>
              <w:br/>
            </w:r>
            <w:r>
              <w:rPr>
                <w:rFonts w:ascii="Calibri" w:hAnsi="Calibri"/>
                <w:b/>
                <w:color w:val="1B365D"/>
                <w:sz w:val="19"/>
              </w:rPr>
              <w:t>Jai Subiksha T</w:t>
            </w:r>
          </w:p>
        </w:tc>
        <w:tc>
          <w:tcPr>
            <w:tcW w:type="dxa" w:w="1872"/>
            <w:shd w:fill="F8FAFC"/>
            <w:tcMar>
              <w:top w:w="80" w:type="dxa"/>
              <w:bottom w:w="80" w:type="dxa"/>
              <w:left w:w="120" w:type="dxa"/>
              <w:right w:w="120" w:type="dxa"/>
            </w:tcMar>
          </w:tcPr>
          <w:p>
            <w:pPr>
              <w:jc w:val="center"/>
            </w:pPr>
            <w:r>
              <w:rPr>
                <w:rFonts w:ascii="Calibri" w:hAnsi="Calibri"/>
                <w:b/>
                <w:color w:val="64748B"/>
                <w:sz w:val="16"/>
              </w:rPr>
              <w:t>STUDENT 2 (METADATA)</w:t>
              <w:br/>
            </w:r>
            <w:r>
              <w:rPr>
                <w:rFonts w:ascii="Calibri" w:hAnsi="Calibri"/>
                <w:b/>
                <w:color w:val="1B365D"/>
                <w:sz w:val="19"/>
              </w:rPr>
              <w:t>Sanjay AR</w:t>
            </w:r>
          </w:p>
        </w:tc>
      </w:tr>
    </w:tbl>
    <w:p>
      <w:pPr>
        <w:spacing w:before="160" w:after="40"/>
      </w:pPr>
    </w:p>
    <w:p>
      <w:pPr>
        <w:keepNext/>
        <w:spacing w:before="280" w:after="80"/>
      </w:pPr>
      <w:r>
        <w:rPr>
          <w:rFonts w:ascii="Calibri" w:hAnsi="Calibri"/>
          <w:b/>
          <w:color w:val="1B365D"/>
          <w:sz w:val="28"/>
        </w:rPr>
        <w:t>1. Executive Summary &amp; Team Collaboration Overview</w:t>
      </w:r>
    </w:p>
    <w:p>
      <w:pPr>
        <w:spacing w:before="0" w:after="100" w:line="276" w:lineRule="auto"/>
      </w:pPr>
      <w:r>
        <w:rPr>
          <w:rFonts w:ascii="Calibri" w:hAnsi="Calibri"/>
          <w:color w:val="1E293B"/>
          <w:sz w:val="19"/>
        </w:rPr>
        <w:t>In high-stakes financial technology and Know Your Customer (KYC) compliance, deep learning models must not operate as black boxes. Regulatory standards—including the European Union Artificial Intelligence Act (EU AI Act) and the Reserve Bank of India (RBI) Master Directions on Digital KYC—strictly mandate explainability, auditability, and human-in-the-loop decision support for automated credit and identity rejections.</w:t>
      </w:r>
    </w:p>
    <w:p>
      <w:pPr>
        <w:spacing w:before="0" w:after="100" w:line="276" w:lineRule="auto"/>
      </w:pPr>
      <w:r>
        <w:rPr>
          <w:rFonts w:ascii="Calibri" w:hAnsi="Calibri"/>
          <w:color w:val="1E293B"/>
          <w:sz w:val="19"/>
        </w:rPr>
        <w:t>To address this challenge, our team designed a novel dual-stream Explainable AI (XAI) framework that bridges both modalities of our bimodal neural network. The effort was divided symmetrically between team members to leverage individual strengths while ensuring seamless end-to-end integration:</w:t>
      </w:r>
    </w:p>
    <w:p>
      <w:pPr>
        <w:pStyle w:val="ListBullet"/>
        <w:spacing w:before="20" w:after="60" w:line="276" w:lineRule="auto"/>
      </w:pPr>
      <w:r>
        <w:rPr>
          <w:rFonts w:ascii="Calibri" w:hAnsi="Calibri"/>
          <w:b/>
          <w:color w:val="1E293B"/>
          <w:sz w:val="19"/>
        </w:rPr>
        <w:t xml:space="preserve">Student 1: Jai Subiksha T — Visual Explainability Lead: </w:t>
      </w:r>
      <w:r>
        <w:rPr>
          <w:rFonts w:ascii="Calibri" w:hAnsi="Calibri"/>
          <w:color w:val="1E293B"/>
          <w:sz w:val="19"/>
        </w:rPr>
        <w:t>Engineered the Computer Vision explainability pipeline using Gradient-weighted Class Activation Mapping (Grad-CAM), extracting spatial activation maps from MobileNetV2's final convolutional layer to visually highlight forged pixels, altered dates, and spliced figures.</w:t>
      </w:r>
    </w:p>
    <w:p>
      <w:pPr>
        <w:pStyle w:val="ListBullet"/>
        <w:spacing w:before="20" w:after="60" w:line="276" w:lineRule="auto"/>
      </w:pPr>
      <w:r>
        <w:rPr>
          <w:rFonts w:ascii="Calibri" w:hAnsi="Calibri"/>
          <w:b/>
          <w:color w:val="1E293B"/>
          <w:sz w:val="19"/>
        </w:rPr>
        <w:t xml:space="preserve">Student 2: Sanjay AR — Metadata Explainability Lead: </w:t>
      </w:r>
      <w:r>
        <w:rPr>
          <w:rFonts w:ascii="Calibri" w:hAnsi="Calibri"/>
          <w:color w:val="1E293B"/>
          <w:sz w:val="19"/>
        </w:rPr>
        <w:t>Engineered the Tabular Metadata explainability pipeline using first-order Input x Gradient attribution across all 13 structural and temporal PDF features, identifying anomalous tool signatures, temporal anachronisms, and producer anomalies.</w:t>
      </w:r>
    </w:p>
    <w:p>
      <w:pPr>
        <w:pStyle w:val="ListBullet"/>
        <w:spacing w:before="20" w:after="60" w:line="276" w:lineRule="auto"/>
      </w:pPr>
      <w:r>
        <w:rPr>
          <w:rFonts w:ascii="Calibri" w:hAnsi="Calibri"/>
          <w:b/>
          <w:color w:val="1E293B"/>
          <w:sz w:val="19"/>
        </w:rPr>
        <w:t xml:space="preserve">Joint Collaborative Innovation: </w:t>
      </w:r>
      <w:r>
        <w:rPr>
          <w:rFonts w:ascii="Calibri" w:hAnsi="Calibri"/>
          <w:color w:val="1E293B"/>
          <w:sz w:val="19"/>
        </w:rPr>
        <w:t>Collaboratively optimized the PyTorch backpropagation graph to compute both visual and metadata explanations simultaneously in a single backward pass, reducing end-to-end inference overhead from 4.5 seconds to under 180 milliseconds.</w:t>
      </w:r>
    </w:p>
    <w:p>
      <w:pPr>
        <w:keepNext/>
        <w:spacing w:before="280" w:after="80"/>
      </w:pPr>
      <w:r>
        <w:rPr>
          <w:rFonts w:ascii="Calibri" w:hAnsi="Calibri"/>
          <w:b/>
          <w:color w:val="1B365D"/>
          <w:sz w:val="28"/>
        </w:rPr>
        <w:t>2. Student 1: Jai Subiksha T — Visual Explainability via Grad-CAM</w:t>
      </w:r>
    </w:p>
    <w:p>
      <w:pPr>
        <w:keepNext/>
        <w:spacing w:before="200" w:after="60"/>
      </w:pPr>
      <w:r>
        <w:rPr>
          <w:rFonts w:ascii="Calibri" w:hAnsi="Calibri"/>
          <w:b/>
          <w:color w:val="475569"/>
          <w:sz w:val="23"/>
        </w:rPr>
        <w:t>2.1 Mathematical &amp; Theoretical Formulation</w:t>
      </w:r>
    </w:p>
    <w:p>
      <w:pPr>
        <w:spacing w:before="0" w:after="100" w:line="276" w:lineRule="auto"/>
      </w:pPr>
      <w:r>
        <w:rPr>
          <w:rFonts w:ascii="Calibri" w:hAnsi="Calibri"/>
          <w:color w:val="1E293B"/>
          <w:sz w:val="19"/>
        </w:rPr>
        <w:t>Grad-CAM uses the gradient information flowing into the last convolutional layer of MobileNetV2 (features[18]) to assign importance values to each spatial neuron for the predicted forgery category c.</w:t>
      </w:r>
    </w:p>
    <w:p>
      <w:pPr>
        <w:spacing w:before="0" w:after="100" w:line="276" w:lineRule="auto"/>
      </w:pPr>
      <w:r>
        <w:rPr>
          <w:rFonts w:ascii="Calibri" w:hAnsi="Calibri"/>
          <w:color w:val="1E293B"/>
          <w:sz w:val="19"/>
        </w:rPr>
        <w:t>1. The gradient of the unnormalized score y^c with respect to feature map activation A^k of convolutional layer l is computed: d(y^c) / d(A^k_{i,j}).</w:t>
      </w:r>
    </w:p>
    <w:p>
      <w:pPr>
        <w:spacing w:before="0" w:after="100" w:line="276" w:lineRule="auto"/>
      </w:pPr>
      <w:r>
        <w:rPr>
          <w:rFonts w:ascii="Calibri" w:hAnsi="Calibri"/>
          <w:color w:val="1E293B"/>
          <w:sz w:val="19"/>
        </w:rPr>
        <w:t>2. Neuron importance weights alpha_k^c are obtained via global average pooling across spatial dimensions (height U, width V): alpha_k^c = (1 / Z) * sum_i sum_j (d(y^c) / d(A^k_{i,j})), where Z = U * V.</w:t>
      </w:r>
    </w:p>
    <w:p>
      <w:pPr>
        <w:spacing w:before="0" w:after="100" w:line="276" w:lineRule="auto"/>
      </w:pPr>
      <w:r>
        <w:rPr>
          <w:rFonts w:ascii="Calibri" w:hAnsi="Calibri"/>
          <w:color w:val="1E293B"/>
          <w:sz w:val="19"/>
        </w:rPr>
        <w:t>3. A weighted combination of forward activation maps is computed followed by a Rectified Linear Unit (ReLU) to isolate features that positively correlate with the forgery class: L_{Grad-CAM}^c = ReLU( sum_k alpha_k^c * A^k ).</w:t>
      </w:r>
    </w:p>
    <w:p>
      <w:pPr>
        <w:spacing w:before="0" w:after="100" w:line="276" w:lineRule="auto"/>
      </w:pPr>
      <w:r>
        <w:rPr>
          <w:rFonts w:ascii="Calibri" w:hAnsi="Calibri"/>
          <w:color w:val="1E293B"/>
          <w:sz w:val="19"/>
        </w:rPr>
        <w:t>4. The resulting 7x7 coarse activation map is bilinearly upsampled to 224x224, normalized to [0, 1], and blended using the JET colormap with an alpha transparency of 0.45 over the original grayscale document page.</w:t>
      </w:r>
    </w:p>
    <w:p>
      <w:pPr>
        <w:keepNext/>
        <w:spacing w:before="200" w:after="60"/>
      </w:pPr>
      <w:r>
        <w:rPr>
          <w:rFonts w:ascii="Calibri" w:hAnsi="Calibri"/>
          <w:b/>
          <w:color w:val="475569"/>
          <w:sz w:val="23"/>
        </w:rPr>
        <w:t>2.2 Implementation &amp; Hook Management</w:t>
      </w:r>
    </w:p>
    <w:p>
      <w:pPr>
        <w:spacing w:before="0" w:after="100" w:line="276" w:lineRule="auto"/>
      </w:pPr>
      <w:r>
        <w:rPr>
          <w:rFonts w:ascii="Calibri" w:hAnsi="Calibri"/>
          <w:color w:val="1E293B"/>
          <w:sz w:val="19"/>
        </w:rPr>
        <w:t>Implemented in predict.py, PyTorch forward and backward hooks are dynamically registered on model.visual_model.features[18]. During evaluation, gradients are intercepted, tensor detachments are performed safely, and the resulting heatmap is encoded directly into base64 PNG format for zero-overhead transmission to the web user interface.</w:t>
      </w:r>
    </w:p>
    <w:p>
      <w:pPr>
        <w:keepNext/>
        <w:spacing w:before="280" w:after="80"/>
      </w:pPr>
      <w:r>
        <w:rPr>
          <w:rFonts w:ascii="Calibri" w:hAnsi="Calibri"/>
          <w:b/>
          <w:color w:val="1B365D"/>
          <w:sz w:val="28"/>
        </w:rPr>
        <w:t>3. Student 2: Sanjay AR — Metadata Explainability via Input × Gradient</w:t>
      </w:r>
    </w:p>
    <w:p>
      <w:pPr>
        <w:keepNext/>
        <w:spacing w:before="200" w:after="60"/>
      </w:pPr>
      <w:r>
        <w:rPr>
          <w:rFonts w:ascii="Calibri" w:hAnsi="Calibri"/>
          <w:b/>
          <w:color w:val="475569"/>
          <w:sz w:val="23"/>
        </w:rPr>
        <w:t>3.1 Mathematical &amp; Theoretical Formulation</w:t>
      </w:r>
    </w:p>
    <w:p>
      <w:pPr>
        <w:spacing w:before="0" w:after="100" w:line="276" w:lineRule="auto"/>
      </w:pPr>
      <w:r>
        <w:rPr>
          <w:rFonts w:ascii="Calibri" w:hAnsi="Calibri"/>
          <w:color w:val="1E293B"/>
          <w:sz w:val="19"/>
        </w:rPr>
        <w:t>While visual heatmaps localize spatial pixel anomalies, they cannot explain why a document was flagged for header tampering or impossible temporal deltas. To interpret the 13-dimensional metadata vector x in R^13, Sanjay AR engineered a first-order gradient attribution explainer (src/model/xai_metadata.py).</w:t>
      </w:r>
    </w:p>
    <w:p>
      <w:pPr>
        <w:spacing w:before="0" w:after="100" w:line="276" w:lineRule="auto"/>
      </w:pPr>
      <w:r>
        <w:rPr>
          <w:rFonts w:ascii="Calibri" w:hAnsi="Calibri"/>
          <w:color w:val="1E293B"/>
          <w:sz w:val="19"/>
        </w:rPr>
        <w:t>The attribution score for feature i with respect to predicted class c is defined as: Attribution_i = x_i * (d(y^c) / d(x_i)).</w:t>
      </w:r>
    </w:p>
    <w:p>
      <w:pPr>
        <w:spacing w:before="0" w:after="100" w:line="276" w:lineRule="auto"/>
      </w:pPr>
      <w:r>
        <w:rPr>
          <w:rFonts w:ascii="Calibri" w:hAnsi="Calibri"/>
          <w:color w:val="1E293B"/>
          <w:sz w:val="19"/>
        </w:rPr>
        <w:t>This product accounts for both the marginal sensitivity of the neural network to the feature (the gradient d(y^c)/dx_i) and the magnitude of the feature itself (x_i), directly mirroring the local linear approximation property of DeepLIFT and Linear SHAP.</w:t>
      </w:r>
    </w:p>
    <w:p>
      <w:pPr>
        <w:keepNext/>
        <w:spacing w:before="200" w:after="60"/>
      </w:pPr>
      <w:r>
        <w:rPr>
          <w:rFonts w:ascii="Calibri" w:hAnsi="Calibri"/>
          <w:b/>
          <w:color w:val="475569"/>
          <w:sz w:val="23"/>
        </w:rPr>
        <w:t>3.2 Feature Catalog &amp; Anomaly Heuristics</w:t>
      </w:r>
    </w:p>
    <w:p>
      <w:pPr>
        <w:spacing w:before="0" w:after="100" w:line="276" w:lineRule="auto"/>
      </w:pPr>
      <w:r>
        <w:rPr>
          <w:rFonts w:ascii="Calibri" w:hAnsi="Calibri"/>
          <w:color w:val="1E293B"/>
          <w:sz w:val="19"/>
        </w:rPr>
        <w:t>The explainer evaluates 13 distinct PDF structural and temporal features:</w:t>
      </w:r>
    </w:p>
    <w:tbl>
      <w:tblPr>
        <w:tblW w:type="auto" w:w="0"/>
        <w:jc w:val="center"/>
        <w:tblLayout w:type="fixed"/>
        <w:tblLook w:firstColumn="1" w:firstRow="1" w:lastColumn="0" w:lastRow="0" w:noHBand="0" w:noVBand="1" w:val="04A0"/>
        <w:tblBorders>
          <w:top w:val="single" w:sz="6" w:space="0" w:color="CBD5E1"/>
          <w:left w:val="none"/>
          <w:bottom w:val="single" w:sz="8" w:space="0" w:color="1B365D"/>
          <w:right w:val="none"/>
          <w:insideH w:val="single" w:sz="4" w:space="0" w:color="CBD5E1"/>
          <w:insideV w:val="none"/>
        </w:tblBorders>
      </w:tblPr>
      <w:tblGrid>
        <w:gridCol w:w="2340"/>
        <w:gridCol w:w="2340"/>
        <w:gridCol w:w="2340"/>
        <w:gridCol w:w="2340"/>
      </w:tblGrid>
      <w:tr>
        <w:tc>
          <w:tcPr>
            <w:tcW w:type="dxa" w:w="864"/>
            <w:shd w:fill="1B365D"/>
            <w:tcMar>
              <w:top w:w="100" w:type="dxa"/>
              <w:bottom w:w="100" w:type="dxa"/>
              <w:left w:w="120" w:type="dxa"/>
              <w:right w:w="120" w:type="dxa"/>
            </w:tcMar>
          </w:tcPr>
          <w:p>
            <w:pPr>
              <w:spacing w:before="0" w:after="0"/>
              <w:jc w:val="left"/>
            </w:pPr>
            <w:r>
              <w:rPr>
                <w:rFonts w:ascii="Calibri" w:hAnsi="Calibri"/>
                <w:b/>
                <w:color w:val="FFFFFF"/>
                <w:sz w:val="18"/>
              </w:rPr>
              <w:t>Index</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Feature Name</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8"/>
              </w:rPr>
              <w:t>Data Type</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8"/>
              </w:rPr>
              <w:t>Forensic Interpretation &amp; Threat Significance</w:t>
            </w:r>
          </w:p>
        </w:tc>
      </w:tr>
      <w:tr>
        <w:tc>
          <w:tcPr>
            <w:tcW w:type="dxa" w:w="864"/>
            <w:shd w:fill="FFFFFF"/>
            <w:tcMar>
              <w:top w:w="80" w:type="dxa"/>
              <w:bottom w:w="80" w:type="dxa"/>
              <w:left w:w="120" w:type="dxa"/>
              <w:right w:w="120" w:type="dxa"/>
            </w:tcMar>
          </w:tcPr>
          <w:p>
            <w:pPr>
              <w:spacing w:before="0" w:after="0"/>
              <w:jc w:val="left"/>
            </w:pPr>
            <w:r>
              <w:rPr>
                <w:rFonts w:ascii="Calibri" w:hAnsi="Calibri"/>
                <w:color w:val="1E293B"/>
                <w:sz w:val="18"/>
              </w:rPr>
              <w:t>f1</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has_creator</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Binary (0/1)</w:t>
            </w:r>
          </w:p>
        </w:tc>
        <w:tc>
          <w:tcPr>
            <w:tcW w:type="dxa" w:w="4320"/>
            <w:shd w:fill="FFFFFF"/>
            <w:tcMar>
              <w:top w:w="80" w:type="dxa"/>
              <w:bottom w:w="80" w:type="dxa"/>
              <w:left w:w="120" w:type="dxa"/>
              <w:right w:w="120" w:type="dxa"/>
            </w:tcMar>
          </w:tcPr>
          <w:p>
            <w:pPr>
              <w:spacing w:before="0" w:after="0"/>
              <w:jc w:val="left"/>
            </w:pPr>
            <w:r>
              <w:rPr>
                <w:rFonts w:ascii="Calibri" w:hAnsi="Calibri"/>
                <w:color w:val="1E293B"/>
                <w:sz w:val="18"/>
              </w:rPr>
              <w:t>Absence indicates programmatic generation or metadata stripping.</w:t>
            </w:r>
          </w:p>
        </w:tc>
      </w:tr>
      <w:tr>
        <w:tc>
          <w:tcPr>
            <w:tcW w:type="dxa" w:w="864"/>
            <w:shd w:fill="F8FAFC"/>
            <w:tcMar>
              <w:top w:w="80" w:type="dxa"/>
              <w:bottom w:w="80" w:type="dxa"/>
              <w:left w:w="120" w:type="dxa"/>
              <w:right w:w="120" w:type="dxa"/>
            </w:tcMar>
          </w:tcPr>
          <w:p>
            <w:pPr>
              <w:spacing w:before="0" w:after="0"/>
              <w:jc w:val="left"/>
            </w:pPr>
            <w:r>
              <w:rPr>
                <w:rFonts w:ascii="Calibri" w:hAnsi="Calibri"/>
                <w:color w:val="1E293B"/>
                <w:sz w:val="18"/>
              </w:rPr>
              <w:t>f2</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has_producer</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Binary (0/1)</w:t>
            </w:r>
          </w:p>
        </w:tc>
        <w:tc>
          <w:tcPr>
            <w:tcW w:type="dxa" w:w="4320"/>
            <w:shd w:fill="F8FAFC"/>
            <w:tcMar>
              <w:top w:w="80" w:type="dxa"/>
              <w:bottom w:w="80" w:type="dxa"/>
              <w:left w:w="120" w:type="dxa"/>
              <w:right w:w="120" w:type="dxa"/>
            </w:tcMar>
          </w:tcPr>
          <w:p>
            <w:pPr>
              <w:spacing w:before="0" w:after="0"/>
              <w:jc w:val="left"/>
            </w:pPr>
            <w:r>
              <w:rPr>
                <w:rFonts w:ascii="Calibri" w:hAnsi="Calibri"/>
                <w:color w:val="1E293B"/>
                <w:sz w:val="18"/>
              </w:rPr>
              <w:t>Identifies software library or engine responsible for conversion.</w:t>
            </w:r>
          </w:p>
        </w:tc>
      </w:tr>
      <w:tr>
        <w:tc>
          <w:tcPr>
            <w:tcW w:type="dxa" w:w="864"/>
            <w:shd w:fill="FFFFFF"/>
            <w:tcMar>
              <w:top w:w="80" w:type="dxa"/>
              <w:bottom w:w="80" w:type="dxa"/>
              <w:left w:w="120" w:type="dxa"/>
              <w:right w:w="120" w:type="dxa"/>
            </w:tcMar>
          </w:tcPr>
          <w:p>
            <w:pPr>
              <w:spacing w:before="0" w:after="0"/>
              <w:jc w:val="left"/>
            </w:pPr>
            <w:r>
              <w:rPr>
                <w:rFonts w:ascii="Calibri" w:hAnsi="Calibri"/>
                <w:color w:val="1E293B"/>
                <w:sz w:val="18"/>
              </w:rPr>
              <w:t>f3</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has_author</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Binary (0/1)</w:t>
            </w:r>
          </w:p>
        </w:tc>
        <w:tc>
          <w:tcPr>
            <w:tcW w:type="dxa" w:w="4320"/>
            <w:shd w:fill="FFFFFF"/>
            <w:tcMar>
              <w:top w:w="80" w:type="dxa"/>
              <w:bottom w:w="80" w:type="dxa"/>
              <w:left w:w="120" w:type="dxa"/>
              <w:right w:w="120" w:type="dxa"/>
            </w:tcMar>
          </w:tcPr>
          <w:p>
            <w:pPr>
              <w:spacing w:before="0" w:after="0"/>
              <w:jc w:val="left"/>
            </w:pPr>
            <w:r>
              <w:rPr>
                <w:rFonts w:ascii="Calibri" w:hAnsi="Calibri"/>
                <w:color w:val="1E293B"/>
                <w:sz w:val="18"/>
              </w:rPr>
              <w:t>Presence/absence of author claims in formal institutional documents.</w:t>
            </w:r>
          </w:p>
        </w:tc>
      </w:tr>
      <w:tr>
        <w:tc>
          <w:tcPr>
            <w:tcW w:type="dxa" w:w="864"/>
            <w:shd w:fill="F8FAFC"/>
            <w:tcMar>
              <w:top w:w="80" w:type="dxa"/>
              <w:bottom w:w="80" w:type="dxa"/>
              <w:left w:w="120" w:type="dxa"/>
              <w:right w:w="120" w:type="dxa"/>
            </w:tcMar>
          </w:tcPr>
          <w:p>
            <w:pPr>
              <w:spacing w:before="0" w:after="0"/>
              <w:jc w:val="left"/>
            </w:pPr>
            <w:r>
              <w:rPr>
                <w:rFonts w:ascii="Calibri" w:hAnsi="Calibri"/>
                <w:color w:val="1E293B"/>
                <w:sz w:val="18"/>
              </w:rPr>
              <w:t>f4</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has_creation_date</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Binary (0/1)</w:t>
            </w:r>
          </w:p>
        </w:tc>
        <w:tc>
          <w:tcPr>
            <w:tcW w:type="dxa" w:w="4320"/>
            <w:shd w:fill="F8FAFC"/>
            <w:tcMar>
              <w:top w:w="80" w:type="dxa"/>
              <w:bottom w:w="80" w:type="dxa"/>
              <w:left w:w="120" w:type="dxa"/>
              <w:right w:w="120" w:type="dxa"/>
            </w:tcMar>
          </w:tcPr>
          <w:p>
            <w:pPr>
              <w:spacing w:before="0" w:after="0"/>
              <w:jc w:val="left"/>
            </w:pPr>
            <w:r>
              <w:rPr>
                <w:rFonts w:ascii="Calibri" w:hAnsi="Calibri"/>
                <w:color w:val="1E293B"/>
                <w:sz w:val="18"/>
              </w:rPr>
              <w:t>Validates existence of primary ASN.1 creation timestamp.</w:t>
            </w:r>
          </w:p>
        </w:tc>
      </w:tr>
      <w:tr>
        <w:tc>
          <w:tcPr>
            <w:tcW w:type="dxa" w:w="864"/>
            <w:shd w:fill="FFFFFF"/>
            <w:tcMar>
              <w:top w:w="80" w:type="dxa"/>
              <w:bottom w:w="80" w:type="dxa"/>
              <w:left w:w="120" w:type="dxa"/>
              <w:right w:w="120" w:type="dxa"/>
            </w:tcMar>
          </w:tcPr>
          <w:p>
            <w:pPr>
              <w:spacing w:before="0" w:after="0"/>
              <w:jc w:val="left"/>
            </w:pPr>
            <w:r>
              <w:rPr>
                <w:rFonts w:ascii="Calibri" w:hAnsi="Calibri"/>
                <w:color w:val="1E293B"/>
                <w:sz w:val="18"/>
              </w:rPr>
              <w:t>f5</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has_mod_date</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Binary (0/1)</w:t>
            </w:r>
          </w:p>
        </w:tc>
        <w:tc>
          <w:tcPr>
            <w:tcW w:type="dxa" w:w="4320"/>
            <w:shd w:fill="FFFFFF"/>
            <w:tcMar>
              <w:top w:w="80" w:type="dxa"/>
              <w:bottom w:w="80" w:type="dxa"/>
              <w:left w:w="120" w:type="dxa"/>
              <w:right w:w="120" w:type="dxa"/>
            </w:tcMar>
          </w:tcPr>
          <w:p>
            <w:pPr>
              <w:spacing w:before="0" w:after="0"/>
              <w:jc w:val="left"/>
            </w:pPr>
            <w:r>
              <w:rPr>
                <w:rFonts w:ascii="Calibri" w:hAnsi="Calibri"/>
                <w:color w:val="1E293B"/>
                <w:sz w:val="18"/>
              </w:rPr>
              <w:t>Validates existence of modification timestamp.</w:t>
            </w:r>
          </w:p>
        </w:tc>
      </w:tr>
      <w:tr>
        <w:tc>
          <w:tcPr>
            <w:tcW w:type="dxa" w:w="864"/>
            <w:shd w:fill="F8FAFC"/>
            <w:tcMar>
              <w:top w:w="80" w:type="dxa"/>
              <w:bottom w:w="80" w:type="dxa"/>
              <w:left w:w="120" w:type="dxa"/>
              <w:right w:w="120" w:type="dxa"/>
            </w:tcMar>
          </w:tcPr>
          <w:p>
            <w:pPr>
              <w:spacing w:before="0" w:after="0"/>
              <w:jc w:val="left"/>
            </w:pPr>
            <w:r>
              <w:rPr>
                <w:rFonts w:ascii="Calibri" w:hAnsi="Calibri"/>
                <w:color w:val="1E293B"/>
                <w:sz w:val="18"/>
              </w:rPr>
              <w:t>f6</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creation_mod_delta_days</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Integer (days)</w:t>
            </w:r>
          </w:p>
        </w:tc>
        <w:tc>
          <w:tcPr>
            <w:tcW w:type="dxa" w:w="4320"/>
            <w:shd w:fill="F8FAFC"/>
            <w:tcMar>
              <w:top w:w="80" w:type="dxa"/>
              <w:bottom w:w="80" w:type="dxa"/>
              <w:left w:w="120" w:type="dxa"/>
              <w:right w:w="120" w:type="dxa"/>
            </w:tcMar>
          </w:tcPr>
          <w:p>
            <w:pPr>
              <w:spacing w:before="0" w:after="0"/>
              <w:jc w:val="left"/>
            </w:pPr>
            <w:r>
              <w:rPr>
                <w:rFonts w:ascii="Calibri" w:hAnsi="Calibri"/>
                <w:color w:val="1E293B"/>
                <w:sz w:val="18"/>
              </w:rPr>
              <w:t>Days between creation and modification (&gt;0 indicates post-issuance edits).</w:t>
            </w:r>
          </w:p>
        </w:tc>
      </w:tr>
      <w:tr>
        <w:tc>
          <w:tcPr>
            <w:tcW w:type="dxa" w:w="864"/>
            <w:shd w:fill="FFFFFF"/>
            <w:tcMar>
              <w:top w:w="80" w:type="dxa"/>
              <w:bottom w:w="80" w:type="dxa"/>
              <w:left w:w="120" w:type="dxa"/>
              <w:right w:w="120" w:type="dxa"/>
            </w:tcMar>
          </w:tcPr>
          <w:p>
            <w:pPr>
              <w:spacing w:before="0" w:after="0"/>
              <w:jc w:val="left"/>
            </w:pPr>
            <w:r>
              <w:rPr>
                <w:rFonts w:ascii="Calibri" w:hAnsi="Calibri"/>
                <w:color w:val="1E293B"/>
                <w:sz w:val="18"/>
              </w:rPr>
              <w:t>f7</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creation_year_norm</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Continuous</w:t>
            </w:r>
          </w:p>
        </w:tc>
        <w:tc>
          <w:tcPr>
            <w:tcW w:type="dxa" w:w="4320"/>
            <w:shd w:fill="FFFFFF"/>
            <w:tcMar>
              <w:top w:w="80" w:type="dxa"/>
              <w:bottom w:w="80" w:type="dxa"/>
              <w:left w:w="120" w:type="dxa"/>
              <w:right w:w="120" w:type="dxa"/>
            </w:tcMar>
          </w:tcPr>
          <w:p>
            <w:pPr>
              <w:spacing w:before="0" w:after="0"/>
              <w:jc w:val="left"/>
            </w:pPr>
            <w:r>
              <w:rPr>
                <w:rFonts w:ascii="Calibri" w:hAnsi="Calibri"/>
                <w:color w:val="1E293B"/>
                <w:sz w:val="18"/>
              </w:rPr>
              <w:t>Normalized creation year (year - 2000).</w:t>
            </w:r>
          </w:p>
        </w:tc>
      </w:tr>
      <w:tr>
        <w:tc>
          <w:tcPr>
            <w:tcW w:type="dxa" w:w="864"/>
            <w:shd w:fill="F8FAFC"/>
            <w:tcMar>
              <w:top w:w="80" w:type="dxa"/>
              <w:bottom w:w="80" w:type="dxa"/>
              <w:left w:w="120" w:type="dxa"/>
              <w:right w:w="120" w:type="dxa"/>
            </w:tcMar>
          </w:tcPr>
          <w:p>
            <w:pPr>
              <w:spacing w:before="0" w:after="0"/>
              <w:jc w:val="left"/>
            </w:pPr>
            <w:r>
              <w:rPr>
                <w:rFonts w:ascii="Calibri" w:hAnsi="Calibri"/>
                <w:color w:val="1E293B"/>
                <w:sz w:val="18"/>
              </w:rPr>
              <w:t>f8</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mod_year_norm</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Continuous</w:t>
            </w:r>
          </w:p>
        </w:tc>
        <w:tc>
          <w:tcPr>
            <w:tcW w:type="dxa" w:w="4320"/>
            <w:shd w:fill="F8FAFC"/>
            <w:tcMar>
              <w:top w:w="80" w:type="dxa"/>
              <w:bottom w:w="80" w:type="dxa"/>
              <w:left w:w="120" w:type="dxa"/>
              <w:right w:w="120" w:type="dxa"/>
            </w:tcMar>
          </w:tcPr>
          <w:p>
            <w:pPr>
              <w:spacing w:before="0" w:after="0"/>
              <w:jc w:val="left"/>
            </w:pPr>
            <w:r>
              <w:rPr>
                <w:rFonts w:ascii="Calibri" w:hAnsi="Calibri"/>
                <w:color w:val="1E293B"/>
                <w:sz w:val="18"/>
              </w:rPr>
              <w:t>Normalized modification year (year - 2000).</w:t>
            </w:r>
          </w:p>
        </w:tc>
      </w:tr>
      <w:tr>
        <w:tc>
          <w:tcPr>
            <w:tcW w:type="dxa" w:w="864"/>
            <w:shd w:fill="FFFFFF"/>
            <w:tcMar>
              <w:top w:w="80" w:type="dxa"/>
              <w:bottom w:w="80" w:type="dxa"/>
              <w:left w:w="120" w:type="dxa"/>
              <w:right w:w="120" w:type="dxa"/>
            </w:tcMar>
          </w:tcPr>
          <w:p>
            <w:pPr>
              <w:spacing w:before="0" w:after="0"/>
              <w:jc w:val="left"/>
            </w:pPr>
            <w:r>
              <w:rPr>
                <w:rFonts w:ascii="Calibri" w:hAnsi="Calibri"/>
                <w:color w:val="1E293B"/>
                <w:sz w:val="18"/>
              </w:rPr>
              <w:t>f9</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suspect_producer_tool</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Binary (0/1)</w:t>
            </w:r>
          </w:p>
        </w:tc>
        <w:tc>
          <w:tcPr>
            <w:tcW w:type="dxa" w:w="4320"/>
            <w:shd w:fill="FFFFFF"/>
            <w:tcMar>
              <w:top w:w="80" w:type="dxa"/>
              <w:bottom w:w="80" w:type="dxa"/>
              <w:left w:w="120" w:type="dxa"/>
              <w:right w:w="120" w:type="dxa"/>
            </w:tcMar>
          </w:tcPr>
          <w:p>
            <w:pPr>
              <w:spacing w:before="0" w:after="0"/>
              <w:jc w:val="left"/>
            </w:pPr>
            <w:r>
              <w:rPr>
                <w:rFonts w:ascii="Calibri" w:hAnsi="Calibri"/>
                <w:color w:val="1E293B"/>
                <w:sz w:val="18"/>
              </w:rPr>
              <w:t>Flags known online manipulation tools (iLovePDF, SmallPDF, PDF2Go).</w:t>
            </w:r>
          </w:p>
        </w:tc>
      </w:tr>
      <w:tr>
        <w:tc>
          <w:tcPr>
            <w:tcW w:type="dxa" w:w="864"/>
            <w:shd w:fill="F8FAFC"/>
            <w:tcMar>
              <w:top w:w="80" w:type="dxa"/>
              <w:bottom w:w="80" w:type="dxa"/>
              <w:left w:w="120" w:type="dxa"/>
              <w:right w:w="120" w:type="dxa"/>
            </w:tcMar>
          </w:tcPr>
          <w:p>
            <w:pPr>
              <w:spacing w:before="0" w:after="0"/>
              <w:jc w:val="left"/>
            </w:pPr>
            <w:r>
              <w:rPr>
                <w:rFonts w:ascii="Calibri" w:hAnsi="Calibri"/>
                <w:color w:val="1E293B"/>
                <w:sz w:val="18"/>
              </w:rPr>
              <w:t>f10</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producer_string_length</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Integer [0, 100]</w:t>
            </w:r>
          </w:p>
        </w:tc>
        <w:tc>
          <w:tcPr>
            <w:tcW w:type="dxa" w:w="4320"/>
            <w:shd w:fill="F8FAFC"/>
            <w:tcMar>
              <w:top w:w="80" w:type="dxa"/>
              <w:bottom w:w="80" w:type="dxa"/>
              <w:left w:w="120" w:type="dxa"/>
              <w:right w:w="120" w:type="dxa"/>
            </w:tcMar>
          </w:tcPr>
          <w:p>
            <w:pPr>
              <w:spacing w:before="0" w:after="0"/>
              <w:jc w:val="left"/>
            </w:pPr>
            <w:r>
              <w:rPr>
                <w:rFonts w:ascii="Calibri" w:hAnsi="Calibri"/>
                <w:color w:val="1E293B"/>
                <w:sz w:val="18"/>
              </w:rPr>
              <w:t>Unusually long or short strings indicate obfuscation or stripping.</w:t>
            </w:r>
          </w:p>
        </w:tc>
      </w:tr>
      <w:tr>
        <w:tc>
          <w:tcPr>
            <w:tcW w:type="dxa" w:w="864"/>
            <w:shd w:fill="FFFFFF"/>
            <w:tcMar>
              <w:top w:w="80" w:type="dxa"/>
              <w:bottom w:w="80" w:type="dxa"/>
              <w:left w:w="120" w:type="dxa"/>
              <w:right w:w="120" w:type="dxa"/>
            </w:tcMar>
          </w:tcPr>
          <w:p>
            <w:pPr>
              <w:spacing w:before="0" w:after="0"/>
              <w:jc w:val="left"/>
            </w:pPr>
            <w:r>
              <w:rPr>
                <w:rFonts w:ascii="Calibri" w:hAnsi="Calibri"/>
                <w:color w:val="1E293B"/>
                <w:sz w:val="18"/>
              </w:rPr>
              <w:t>f11</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num_custom_fields</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Integer count</w:t>
            </w:r>
          </w:p>
        </w:tc>
        <w:tc>
          <w:tcPr>
            <w:tcW w:type="dxa" w:w="4320"/>
            <w:shd w:fill="FFFFFF"/>
            <w:tcMar>
              <w:top w:w="80" w:type="dxa"/>
              <w:bottom w:w="80" w:type="dxa"/>
              <w:left w:w="120" w:type="dxa"/>
              <w:right w:w="120" w:type="dxa"/>
            </w:tcMar>
          </w:tcPr>
          <w:p>
            <w:pPr>
              <w:spacing w:before="0" w:after="0"/>
              <w:jc w:val="left"/>
            </w:pPr>
            <w:r>
              <w:rPr>
                <w:rFonts w:ascii="Calibri" w:hAnsi="Calibri"/>
                <w:color w:val="1E293B"/>
                <w:sz w:val="18"/>
              </w:rPr>
              <w:t>Custom non-standard trailer keys injected by third-party editors.</w:t>
            </w:r>
          </w:p>
        </w:tc>
      </w:tr>
      <w:tr>
        <w:tc>
          <w:tcPr>
            <w:tcW w:type="dxa" w:w="864"/>
            <w:shd w:fill="F8FAFC"/>
            <w:tcMar>
              <w:top w:w="80" w:type="dxa"/>
              <w:bottom w:w="80" w:type="dxa"/>
              <w:left w:w="120" w:type="dxa"/>
              <w:right w:w="120" w:type="dxa"/>
            </w:tcMar>
          </w:tcPr>
          <w:p>
            <w:pPr>
              <w:spacing w:before="0" w:after="0"/>
              <w:jc w:val="left"/>
            </w:pPr>
            <w:r>
              <w:rPr>
                <w:rFonts w:ascii="Calibri" w:hAnsi="Calibri"/>
                <w:color w:val="1E293B"/>
                <w:sz w:val="18"/>
              </w:rPr>
              <w:t>f12</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suspicious_title_flag</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Binary (0/1)</w:t>
            </w:r>
          </w:p>
        </w:tc>
        <w:tc>
          <w:tcPr>
            <w:tcW w:type="dxa" w:w="4320"/>
            <w:shd w:fill="F8FAFC"/>
            <w:tcMar>
              <w:top w:w="80" w:type="dxa"/>
              <w:bottom w:w="80" w:type="dxa"/>
              <w:left w:w="120" w:type="dxa"/>
              <w:right w:w="120" w:type="dxa"/>
            </w:tcMar>
          </w:tcPr>
          <w:p>
            <w:pPr>
              <w:spacing w:before="0" w:after="0"/>
              <w:jc w:val="left"/>
            </w:pPr>
            <w:r>
              <w:rPr>
                <w:rFonts w:ascii="Calibri" w:hAnsi="Calibri"/>
                <w:color w:val="1E293B"/>
                <w:sz w:val="18"/>
              </w:rPr>
              <w:t>Titles like 'untitled', 'document1', 'scanned' indicate informal re-exports.</w:t>
            </w:r>
          </w:p>
        </w:tc>
      </w:tr>
      <w:tr>
        <w:tc>
          <w:tcPr>
            <w:tcW w:type="dxa" w:w="864"/>
            <w:shd w:fill="FFFFFF"/>
            <w:tcMar>
              <w:top w:w="80" w:type="dxa"/>
              <w:bottom w:w="80" w:type="dxa"/>
              <w:left w:w="120" w:type="dxa"/>
              <w:right w:w="120" w:type="dxa"/>
            </w:tcMar>
          </w:tcPr>
          <w:p>
            <w:pPr>
              <w:spacing w:before="0" w:after="0"/>
              <w:jc w:val="left"/>
            </w:pPr>
            <w:r>
              <w:rPr>
                <w:rFonts w:ascii="Calibri" w:hAnsi="Calibri"/>
                <w:color w:val="1E293B"/>
                <w:sz w:val="18"/>
              </w:rPr>
              <w:t>f13</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temporal_anachronism_delta</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Integer (years)</w:t>
            </w:r>
          </w:p>
        </w:tc>
        <w:tc>
          <w:tcPr>
            <w:tcW w:type="dxa" w:w="4320"/>
            <w:shd w:fill="FFFFFF"/>
            <w:tcMar>
              <w:top w:w="80" w:type="dxa"/>
              <w:bottom w:w="80" w:type="dxa"/>
              <w:left w:w="120" w:type="dxa"/>
              <w:right w:w="120" w:type="dxa"/>
            </w:tcMar>
          </w:tcPr>
          <w:p>
            <w:pPr>
              <w:spacing w:before="0" w:after="0"/>
              <w:jc w:val="left"/>
            </w:pPr>
            <w:r>
              <w:rPr>
                <w:rFonts w:ascii="Calibri" w:hAnsi="Calibri"/>
                <w:color w:val="1E293B"/>
                <w:sz w:val="18"/>
              </w:rPr>
              <w:t>Delta: (Software Release Year) - (Document Claimed Year).</w:t>
            </w:r>
          </w:p>
        </w:tc>
      </w:tr>
    </w:tbl>
    <w:p>
      <w:pPr>
        <w:spacing w:before="80"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40" w:type="dxa"/>
            </w:tcMar>
            <w:tcBorders>
              <w:top w:val="none"/>
              <w:left w:val="single" w:sz="24" w:space="0" w:color="1B365D"/>
              <w:bottom w:val="none"/>
              <w:right w:val="none"/>
            </w:tcBorders>
          </w:tcPr>
          <w:p>
            <w:pPr>
              <w:spacing w:before="40" w:after="40" w:line="276" w:lineRule="auto"/>
            </w:pPr>
            <w:r>
              <w:rPr>
                <w:rFonts w:ascii="Calibri" w:hAnsi="Calibri"/>
                <w:b/>
                <w:color w:val="1B365D"/>
                <w:sz w:val="19"/>
              </w:rPr>
              <w:t xml:space="preserve">[CRITICAL FORENSIC HEURISTIC] </w:t>
            </w:r>
            <w:r>
              <w:rPr>
                <w:rFonts w:ascii="Calibri" w:hAnsi="Calibri"/>
                <w:color w:val="1E293B"/>
                <w:sz w:val="19"/>
              </w:rPr>
              <w:t>Feature #13 (temporal_anachronism_delta) detects software anachronisms: e.g., a document claiming a 2018 issue date produced with Adobe Acrobat DC 2024 has a delta of +6 years. This is physically impossible for genuine historical records.</w:t>
            </w:r>
          </w:p>
        </w:tc>
      </w:tr>
    </w:tbl>
    <w:p>
      <w:pPr>
        <w:spacing w:before="40" w:after="40"/>
      </w:pPr>
    </w:p>
    <w:p>
      <w:pPr>
        <w:keepNext/>
        <w:spacing w:before="280" w:after="80"/>
      </w:pPr>
      <w:r>
        <w:rPr>
          <w:rFonts w:ascii="Calibri" w:hAnsi="Calibri"/>
          <w:b/>
          <w:color w:val="1B365D"/>
          <w:sz w:val="28"/>
        </w:rPr>
        <w:t>4. Joint Engineering Innovation: Single-Pass Zero-Redundancy Backprop</w:t>
      </w:r>
    </w:p>
    <w:p>
      <w:pPr>
        <w:spacing w:before="0" w:after="100" w:line="276" w:lineRule="auto"/>
      </w:pPr>
      <w:r>
        <w:rPr>
          <w:rFonts w:ascii="Calibri" w:hAnsi="Calibri"/>
          <w:color w:val="1E293B"/>
          <w:sz w:val="19"/>
        </w:rPr>
        <w:t>During initial prototyping, running Grad-CAM for the visual branch followed by a separate forward-backward pass for the metadata explainer caused CPU latency to spike to ~4.5 seconds per document. This latency was unacceptable for interactive KYC web verification.</w:t>
      </w:r>
    </w:p>
    <w:p>
      <w:pPr>
        <w:spacing w:before="0" w:after="100" w:line="276" w:lineRule="auto"/>
      </w:pPr>
      <w:r>
        <w:rPr>
          <w:rFonts w:ascii="Calibri" w:hAnsi="Calibri"/>
          <w:color w:val="1E293B"/>
          <w:sz w:val="19"/>
        </w:rPr>
        <w:t>Jai Subiksha T and Sanjay AR collaborated to eliminate this redundancy by modifying predict.py. By setting meta_tensor.requires_grad = True before the primary model forward pass, PyTorch retains the entire multimodal computational graph. When score.backward() is executed for Grad-CAM, the exact same backpropagation pass populates meta_tensor.grad simultaneously. Metadata attributions are then computed via vector dot product with zero additional forward passes, reducing explainability latency to less than 1 millisecond overhead.</w:t>
      </w:r>
    </w:p>
    <w:p>
      <w:pPr>
        <w:keepNext/>
        <w:spacing w:before="280" w:after="80"/>
      </w:pPr>
      <w:r>
        <w:rPr>
          <w:rFonts w:ascii="Calibri" w:hAnsi="Calibri"/>
          <w:b/>
          <w:color w:val="1B365D"/>
          <w:sz w:val="28"/>
        </w:rPr>
        <w:t>5. Web UI Presentation &amp; User Experience</w:t>
      </w:r>
    </w:p>
    <w:p>
      <w:pPr>
        <w:spacing w:before="0" w:after="100" w:line="276" w:lineRule="auto"/>
      </w:pPr>
      <w:r>
        <w:rPr>
          <w:rFonts w:ascii="Calibri" w:hAnsi="Calibri"/>
          <w:color w:val="1E293B"/>
          <w:sz w:val="19"/>
        </w:rPr>
        <w:t>The XAI outputs are rendered in real time within the GROGU web application (index.html):</w:t>
      </w:r>
    </w:p>
    <w:p>
      <w:pPr>
        <w:pStyle w:val="ListBullet"/>
        <w:spacing w:before="20" w:after="60" w:line="276" w:lineRule="auto"/>
      </w:pPr>
      <w:r>
        <w:rPr>
          <w:rFonts w:ascii="Calibri" w:hAnsi="Calibri"/>
          <w:b/>
          <w:color w:val="1E293B"/>
          <w:sz w:val="19"/>
        </w:rPr>
        <w:t xml:space="preserve">Student 1: Jai Subiksha T — Visual Card: </w:t>
      </w:r>
      <w:r>
        <w:rPr>
          <w:rFonts w:ascii="Calibri" w:hAnsi="Calibri"/>
          <w:color w:val="1E293B"/>
          <w:sz w:val="19"/>
        </w:rPr>
        <w:t>Displays the high-resolution Grad-CAM visual overlay alongside a 4-class probability breakdown, highlighting specific forged regions.</w:t>
      </w:r>
    </w:p>
    <w:p>
      <w:pPr>
        <w:pStyle w:val="ListBullet"/>
        <w:spacing w:before="20" w:after="60" w:line="276" w:lineRule="auto"/>
      </w:pPr>
      <w:r>
        <w:rPr>
          <w:rFonts w:ascii="Calibri" w:hAnsi="Calibri"/>
          <w:b/>
          <w:color w:val="1E293B"/>
          <w:sz w:val="19"/>
        </w:rPr>
        <w:t xml:space="preserve">Student 2: Sanjay AR — Metadata Card: </w:t>
      </w:r>
      <w:r>
        <w:rPr>
          <w:rFonts w:ascii="Calibri" w:hAnsi="Calibri"/>
          <w:color w:val="1E293B"/>
          <w:sz w:val="19"/>
        </w:rPr>
        <w:t>Displays horizontal attribution bars for the top metadata driving features, color-coded with red (positive fraud evidence) and green (genuine confirmation), alongside anomaly warning badges for temporal discrepancies.</w:t>
      </w:r>
    </w:p>
    <w:p>
      <w:pPr>
        <w:keepNext/>
        <w:spacing w:before="280" w:after="80"/>
      </w:pPr>
      <w:r>
        <w:rPr>
          <w:rFonts w:ascii="Calibri" w:hAnsi="Calibri"/>
          <w:b/>
          <w:color w:val="1B365D"/>
          <w:sz w:val="28"/>
        </w:rPr>
        <w:t>6. Case Studies on Real Document Forgeries</w:t>
      </w:r>
    </w:p>
    <w:p>
      <w:pPr>
        <w:keepNext/>
        <w:spacing w:before="200" w:after="60"/>
      </w:pPr>
      <w:r>
        <w:rPr>
          <w:rFonts w:ascii="Calibri" w:hAnsi="Calibri"/>
          <w:b/>
          <w:color w:val="475569"/>
          <w:sz w:val="23"/>
        </w:rPr>
        <w:t>6.1 Case 1: Genuine Payslip</w:t>
      </w:r>
    </w:p>
    <w:p>
      <w:pPr>
        <w:spacing w:before="0" w:after="100" w:line="276" w:lineRule="auto"/>
      </w:pPr>
      <w:r>
        <w:rPr>
          <w:rFonts w:ascii="Calibri" w:hAnsi="Calibri"/>
          <w:color w:val="1E293B"/>
          <w:sz w:val="19"/>
        </w:rPr>
        <w:t>Grad-CAM displays low, diffuse activations across the entire document layout with no focal hot spots. Metadata attributions show neutral or negative fraud contributions with all anomaly flags set to False.</w:t>
      </w:r>
    </w:p>
    <w:p>
      <w:pPr>
        <w:keepNext/>
        <w:spacing w:before="200" w:after="60"/>
      </w:pPr>
      <w:r>
        <w:rPr>
          <w:rFonts w:ascii="Calibri" w:hAnsi="Calibri"/>
          <w:b/>
          <w:color w:val="475569"/>
          <w:sz w:val="23"/>
        </w:rPr>
        <w:t>6.2 Case 2: Font-Tampered Utility Bill</w:t>
      </w:r>
    </w:p>
    <w:p>
      <w:pPr>
        <w:spacing w:before="0" w:after="100" w:line="276" w:lineRule="auto"/>
      </w:pPr>
      <w:r>
        <w:rPr>
          <w:rFonts w:ascii="Calibri" w:hAnsi="Calibri"/>
          <w:color w:val="1E293B"/>
          <w:sz w:val="19"/>
        </w:rPr>
        <w:t>Grad-CAM pinpoints the exact bounding box of the altered 'Amount Due' and 'Consumer Number' with a high-intensity red heatmap hot spot. Metadata attributions remain neutral, confirming that the forgery was purely graphical.</w:t>
      </w:r>
    </w:p>
    <w:p>
      <w:pPr>
        <w:keepNext/>
        <w:spacing w:before="200" w:after="60"/>
      </w:pPr>
      <w:r>
        <w:rPr>
          <w:rFonts w:ascii="Calibri" w:hAnsi="Calibri"/>
          <w:b/>
          <w:color w:val="475569"/>
          <w:sz w:val="23"/>
        </w:rPr>
        <w:t>6.3 Case 3: Metadata-Tampered Income Certificate</w:t>
      </w:r>
    </w:p>
    <w:p>
      <w:pPr>
        <w:spacing w:before="0" w:after="100" w:line="276" w:lineRule="auto"/>
      </w:pPr>
      <w:r>
        <w:rPr>
          <w:rFonts w:ascii="Calibri" w:hAnsi="Calibri"/>
          <w:color w:val="1E293B"/>
          <w:sz w:val="19"/>
        </w:rPr>
        <w:t>The visual heatmap is completely uniform with zero localized activations. In contrast, the metadata attribution panel shows an overwhelming positive spike on temporal_anachronism_delta (+5.0 years) and suspect_producer_tool, clearly explaining the fraud verdict.</w:t>
      </w:r>
    </w:p>
    <w:p>
      <w:pPr>
        <w:keepNext/>
        <w:spacing w:before="200" w:after="60"/>
      </w:pPr>
      <w:r>
        <w:rPr>
          <w:rFonts w:ascii="Calibri" w:hAnsi="Calibri"/>
          <w:b/>
          <w:color w:val="475569"/>
          <w:sz w:val="23"/>
        </w:rPr>
        <w:t>6.4 Case 4: Both-Tampered Bank Statement</w:t>
      </w:r>
    </w:p>
    <w:p>
      <w:pPr>
        <w:spacing w:before="0" w:after="100" w:line="276" w:lineRule="auto"/>
      </w:pPr>
      <w:r>
        <w:rPr>
          <w:rFonts w:ascii="Calibri" w:hAnsi="Calibri"/>
          <w:color w:val="1E293B"/>
          <w:sz w:val="19"/>
        </w:rPr>
        <w:t>Both XAI streams trigger simultaneously: Grad-CAM localizes a spliced transaction row in the bank table, while the metadata panel flags creation_mod_delta_days (+42 days) and an obfuscated producer string.</w:t>
      </w:r>
    </w:p>
    <w:p>
      <w:pPr>
        <w:keepNext/>
        <w:spacing w:before="280" w:after="80"/>
      </w:pPr>
      <w:r>
        <w:rPr>
          <w:rFonts w:ascii="Calibri" w:hAnsi="Calibri"/>
          <w:b/>
          <w:color w:val="1B365D"/>
          <w:sz w:val="28"/>
        </w:rPr>
        <w:t>7. Summary of Team Contributions</w:t>
      </w:r>
    </w:p>
    <w:tbl>
      <w:tblPr>
        <w:tblW w:type="auto" w:w="0"/>
        <w:jc w:val="center"/>
        <w:tblLayout w:type="fixed"/>
        <w:tblLook w:firstColumn="1" w:firstRow="1" w:lastColumn="0" w:lastRow="0" w:noHBand="0" w:noVBand="1" w:val="04A0"/>
        <w:tblBorders>
          <w:top w:val="single" w:sz="6" w:space="0" w:color="CBD5E1"/>
          <w:left w:val="none"/>
          <w:bottom w:val="single" w:sz="8" w:space="0" w:color="1B365D"/>
          <w:right w:val="none"/>
          <w:insideH w:val="single" w:sz="4" w:space="0" w:color="CBD5E1"/>
          <w:insideV w:val="none"/>
        </w:tblBorders>
      </w:tblPr>
      <w:tblGrid>
        <w:gridCol w:w="3120"/>
        <w:gridCol w:w="3120"/>
        <w:gridCol w:w="3120"/>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Project Dimension</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8"/>
              </w:rPr>
              <w:t>Student 1: Jai Subiksha T</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8"/>
              </w:rPr>
              <w:t>Student 2: Sanjay AR</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Core Responsibility</w:t>
            </w:r>
          </w:p>
        </w:tc>
        <w:tc>
          <w:tcPr>
            <w:tcW w:type="dxa" w:w="3312"/>
            <w:shd w:fill="FFFFFF"/>
            <w:tcMar>
              <w:top w:w="80" w:type="dxa"/>
              <w:bottom w:w="80" w:type="dxa"/>
              <w:left w:w="120" w:type="dxa"/>
              <w:right w:w="120" w:type="dxa"/>
            </w:tcMar>
          </w:tcPr>
          <w:p>
            <w:pPr>
              <w:spacing w:before="0" w:after="0"/>
              <w:jc w:val="left"/>
            </w:pPr>
            <w:r>
              <w:rPr>
                <w:rFonts w:ascii="Calibri" w:hAnsi="Calibri"/>
                <w:color w:val="1E293B"/>
                <w:sz w:val="18"/>
              </w:rPr>
              <w:t>Visual Explainability Lead &amp; UI Integration</w:t>
            </w:r>
          </w:p>
        </w:tc>
        <w:tc>
          <w:tcPr>
            <w:tcW w:type="dxa" w:w="3456"/>
            <w:shd w:fill="FFFFFF"/>
            <w:tcMar>
              <w:top w:w="80" w:type="dxa"/>
              <w:bottom w:w="80" w:type="dxa"/>
              <w:left w:w="120" w:type="dxa"/>
              <w:right w:w="120" w:type="dxa"/>
            </w:tcMar>
          </w:tcPr>
          <w:p>
            <w:pPr>
              <w:spacing w:before="0" w:after="0"/>
              <w:jc w:val="left"/>
            </w:pPr>
            <w:r>
              <w:rPr>
                <w:rFonts w:ascii="Calibri" w:hAnsi="Calibri"/>
                <w:color w:val="1E293B"/>
                <w:sz w:val="18"/>
              </w:rPr>
              <w:t>Metadata Explainability Lead &amp; Model Architecture</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Algorithm</w:t>
            </w:r>
          </w:p>
        </w:tc>
        <w:tc>
          <w:tcPr>
            <w:tcW w:type="dxa" w:w="3312"/>
            <w:shd w:fill="F8FAFC"/>
            <w:tcMar>
              <w:top w:w="80" w:type="dxa"/>
              <w:bottom w:w="80" w:type="dxa"/>
              <w:left w:w="120" w:type="dxa"/>
              <w:right w:w="120" w:type="dxa"/>
            </w:tcMar>
          </w:tcPr>
          <w:p>
            <w:pPr>
              <w:spacing w:before="0" w:after="0"/>
              <w:jc w:val="left"/>
            </w:pPr>
            <w:r>
              <w:rPr>
                <w:rFonts w:ascii="Calibri" w:hAnsi="Calibri"/>
                <w:color w:val="1E293B"/>
                <w:sz w:val="18"/>
              </w:rPr>
              <w:t>Grad-CAM on MobileNetV2 Layer 18</w:t>
            </w:r>
          </w:p>
        </w:tc>
        <w:tc>
          <w:tcPr>
            <w:tcW w:type="dxa" w:w="3456"/>
            <w:shd w:fill="F8FAFC"/>
            <w:tcMar>
              <w:top w:w="80" w:type="dxa"/>
              <w:bottom w:w="80" w:type="dxa"/>
              <w:left w:w="120" w:type="dxa"/>
              <w:right w:w="120" w:type="dxa"/>
            </w:tcMar>
          </w:tcPr>
          <w:p>
            <w:pPr>
              <w:spacing w:before="0" w:after="0"/>
              <w:jc w:val="left"/>
            </w:pPr>
            <w:r>
              <w:rPr>
                <w:rFonts w:ascii="Calibri" w:hAnsi="Calibri"/>
                <w:color w:val="1E293B"/>
                <w:sz w:val="18"/>
              </w:rPr>
              <w:t>Input x Gradient Attribution on 13-D Tabular MLP</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Implementation File</w:t>
            </w:r>
          </w:p>
        </w:tc>
        <w:tc>
          <w:tcPr>
            <w:tcW w:type="dxa" w:w="3312"/>
            <w:shd w:fill="FFFFFF"/>
            <w:tcMar>
              <w:top w:w="80" w:type="dxa"/>
              <w:bottom w:w="80" w:type="dxa"/>
              <w:left w:w="120" w:type="dxa"/>
              <w:right w:w="120" w:type="dxa"/>
            </w:tcMar>
          </w:tcPr>
          <w:p>
            <w:pPr>
              <w:spacing w:before="0" w:after="0"/>
              <w:jc w:val="left"/>
            </w:pPr>
            <w:r>
              <w:rPr>
                <w:rFonts w:ascii="Calibri" w:hAnsi="Calibri"/>
                <w:color w:val="1E293B"/>
                <w:sz w:val="18"/>
              </w:rPr>
              <w:t>src/model/predict.py &amp; index.html</w:t>
            </w:r>
          </w:p>
        </w:tc>
        <w:tc>
          <w:tcPr>
            <w:tcW w:type="dxa" w:w="3456"/>
            <w:shd w:fill="FFFFFF"/>
            <w:tcMar>
              <w:top w:w="80" w:type="dxa"/>
              <w:bottom w:w="80" w:type="dxa"/>
              <w:left w:w="120" w:type="dxa"/>
              <w:right w:w="120" w:type="dxa"/>
            </w:tcMar>
          </w:tcPr>
          <w:p>
            <w:pPr>
              <w:spacing w:before="0" w:after="0"/>
              <w:jc w:val="left"/>
            </w:pPr>
            <w:r>
              <w:rPr>
                <w:rFonts w:ascii="Calibri" w:hAnsi="Calibri"/>
                <w:color w:val="1E293B"/>
                <w:sz w:val="18"/>
              </w:rPr>
              <w:t>src/model/xai_metadata.py &amp; dataset_generator.py</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Testing &amp; Verification</w:t>
            </w:r>
          </w:p>
        </w:tc>
        <w:tc>
          <w:tcPr>
            <w:tcW w:type="dxa" w:w="3312"/>
            <w:shd w:fill="F8FAFC"/>
            <w:tcMar>
              <w:top w:w="80" w:type="dxa"/>
              <w:bottom w:w="80" w:type="dxa"/>
              <w:left w:w="120" w:type="dxa"/>
              <w:right w:w="120" w:type="dxa"/>
            </w:tcMar>
          </w:tcPr>
          <w:p>
            <w:pPr>
              <w:spacing w:before="0" w:after="0"/>
              <w:jc w:val="left"/>
            </w:pPr>
            <w:r>
              <w:rPr>
                <w:rFonts w:ascii="Calibri" w:hAnsi="Calibri"/>
                <w:color w:val="1E293B"/>
                <w:sz w:val="18"/>
              </w:rPr>
              <w:t>test_jai_blackbox_api.py &amp; UI Integration</w:t>
            </w:r>
          </w:p>
        </w:tc>
        <w:tc>
          <w:tcPr>
            <w:tcW w:type="dxa" w:w="3456"/>
            <w:shd w:fill="F8FAFC"/>
            <w:tcMar>
              <w:top w:w="80" w:type="dxa"/>
              <w:bottom w:w="80" w:type="dxa"/>
              <w:left w:w="120" w:type="dxa"/>
              <w:right w:w="120" w:type="dxa"/>
            </w:tcMar>
          </w:tcPr>
          <w:p>
            <w:pPr>
              <w:spacing w:before="0" w:after="0"/>
              <w:jc w:val="left"/>
            </w:pPr>
            <w:r>
              <w:rPr>
                <w:rFonts w:ascii="Calibri" w:hAnsi="Calibri"/>
                <w:color w:val="1E293B"/>
                <w:sz w:val="18"/>
              </w:rPr>
              <w:t>test_sanjay_model_whitebox.py &amp; Metamorphic tests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Optimization</w:t>
            </w:r>
          </w:p>
        </w:tc>
        <w:tc>
          <w:tcPr>
            <w:tcW w:type="dxa" w:w="3312"/>
            <w:shd w:fill="FFFFFF"/>
            <w:tcMar>
              <w:top w:w="80" w:type="dxa"/>
              <w:bottom w:w="80" w:type="dxa"/>
              <w:left w:w="120" w:type="dxa"/>
              <w:right w:w="120" w:type="dxa"/>
            </w:tcMar>
          </w:tcPr>
          <w:p>
            <w:pPr>
              <w:spacing w:before="0" w:after="0"/>
              <w:jc w:val="left"/>
            </w:pPr>
            <w:r>
              <w:rPr>
                <w:rFonts w:ascii="Calibri" w:hAnsi="Calibri"/>
                <w:color w:val="1E293B"/>
                <w:sz w:val="18"/>
              </w:rPr>
              <w:t>Base64 image streaming &amp; UI rendering</w:t>
            </w:r>
          </w:p>
        </w:tc>
        <w:tc>
          <w:tcPr>
            <w:tcW w:type="dxa" w:w="3456"/>
            <w:shd w:fill="FFFFFF"/>
            <w:tcMar>
              <w:top w:w="80" w:type="dxa"/>
              <w:bottom w:w="80" w:type="dxa"/>
              <w:left w:w="120" w:type="dxa"/>
              <w:right w:w="120" w:type="dxa"/>
            </w:tcMar>
          </w:tcPr>
          <w:p>
            <w:pPr>
              <w:spacing w:before="0" w:after="0"/>
              <w:jc w:val="left"/>
            </w:pPr>
            <w:r>
              <w:rPr>
                <w:rFonts w:ascii="Calibri" w:hAnsi="Calibri"/>
                <w:color w:val="1E293B"/>
                <w:sz w:val="18"/>
              </w:rPr>
              <w:t>Single-pass PyTorch gradient graph sharing</w:t>
            </w:r>
          </w:p>
        </w:tc>
      </w:tr>
    </w:tbl>
    <w:p>
      <w:pPr>
        <w:spacing w:before="8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