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b/>
          <w:i w:val="0"/>
          <w:color w:val="0A8995"/>
          <w:sz w:val="32"/>
        </w:rPr>
        <w:t>Q / BTC</w:t>
      </w:r>
    </w:p>
    <w:p>
      <w:pPr>
        <w:spacing w:before="520" w:after="200"/>
      </w:pPr>
      <w:r>
        <w:rPr>
          <w:b/>
          <w:i w:val="0"/>
          <w:color w:val="12263B"/>
          <w:sz w:val="60"/>
        </w:rPr>
        <w:t>QUANTPILOT BTC</w:t>
      </w:r>
    </w:p>
    <w:p>
      <w:pPr>
        <w:spacing w:after="440"/>
      </w:pPr>
      <w:r>
        <w:rPr>
          <w:b w:val="0"/>
          <w:i w:val="0"/>
          <w:color w:val="202E3D"/>
          <w:sz w:val="38"/>
        </w:rPr>
        <w:t>Product Requirements &amp; System Specification</w:t>
      </w:r>
    </w:p>
    <w:p>
      <w:pPr>
        <w:spacing w:after="660"/>
      </w:pPr>
      <w:r>
        <w:rPr>
          <w:b w:val="0"/>
          <w:i w:val="0"/>
          <w:color w:val="5B6A78"/>
          <w:sz w:val="24"/>
        </w:rPr>
        <w:t>AI-powered Bitcoin market intelligence, systematic decisioning, backtesting and paper-trading platform</w:t>
      </w:r>
    </w:p>
    <w:tbl>
      <w:tblPr>
        <w:tblW w:type="auto" w:w="0"/>
        <w:tblLayout w:type="fixed"/>
        <w:tblLook w:firstColumn="1" w:firstRow="1" w:lastColumn="0" w:lastRow="0" w:noHBand="0" w:noVBand="1" w:val="04A0"/>
      </w:tblPr>
      <w:tblGrid>
        <w:gridCol w:w="2835"/>
        <w:gridCol w:w="6690"/>
      </w:tblGrid>
      <w:tr>
        <w:tc>
          <w:tcPr>
            <w:tcW w:type="dxa" w:w="4791"/>
            <w:shd w:fill="0A8995"/>
            <w:tcMar>
              <w:top w:w="38" w:type="dxa"/>
              <w:start w:w="0" w:type="dxa"/>
              <w:bottom w:w="38" w:type="dxa"/>
              <w:end w:w="0" w:type="dxa"/>
            </w:tcMar>
          </w:tcPr>
          <w:p/>
        </w:tc>
        <w:tc>
          <w:tcPr>
            <w:tcW w:type="dxa" w:w="4791"/>
            <w:shd w:fill="D7E8EC"/>
            <w:tcMar>
              <w:top w:w="38" w:type="dxa"/>
              <w:start w:w="0" w:type="dxa"/>
              <w:bottom w:w="38" w:type="dxa"/>
              <w:end w:w="0" w:type="dxa"/>
            </w:tcMar>
          </w:tcPr>
          <w:p/>
        </w:tc>
      </w:tr>
    </w:tbl>
    <w:p>
      <w:pPr>
        <w:spacing w:after="320"/>
      </w:pPr>
    </w:p>
    <w:tbl>
      <w:tblPr>
        <w:tblW w:type="auto" w:w="0"/>
        <w:tblLayout w:type="fixed"/>
        <w:tblLook w:firstColumn="1" w:firstRow="1" w:lastColumn="0" w:lastRow="0" w:noHBand="0" w:noVBand="1" w:val="04A0"/>
      </w:tblPr>
      <w:tblGrid>
        <w:gridCol w:w="1757"/>
        <w:gridCol w:w="7767"/>
      </w:tblGrid>
      <w:tr>
        <w:trPr>
          <w:cantSplit/>
        </w:trPr>
        <w:tc>
          <w:tcPr>
            <w:tcW w:type="dxa" w:w="4791"/>
            <w:shd w:fill="e8f5f5"/>
            <w:tcMar>
              <w:top w:w="120" w:type="dxa"/>
              <w:start w:w="130" w:type="dxa"/>
              <w:bottom w:w="120" w:type="dxa"/>
              <w:end w:w="130" w:type="dxa"/>
            </w:tcMar>
          </w:tcPr>
          <w:p>
            <w:pPr>
              <w:pStyle w:val="TableText"/>
            </w:pPr>
            <w:r>
              <w:rPr>
                <w:b/>
                <w:i w:val="0"/>
                <w:color w:val="0A8995"/>
                <w:sz w:val="16"/>
              </w:rPr>
              <w:t>DOCUMENT TYPE</w:t>
            </w:r>
          </w:p>
        </w:tc>
        <w:tc>
          <w:tcPr>
            <w:tcW w:type="dxa" w:w="4791"/>
            <w:shd w:fill="e8f5f5"/>
            <w:tcMar>
              <w:top w:w="120" w:type="dxa"/>
              <w:start w:w="130" w:type="dxa"/>
              <w:bottom w:w="120" w:type="dxa"/>
              <w:end w:w="130" w:type="dxa"/>
            </w:tcMar>
          </w:tcPr>
          <w:p>
            <w:pPr>
              <w:pStyle w:val="TableText"/>
            </w:pPr>
            <w:r>
              <w:rPr>
                <w:b w:val="0"/>
                <w:i w:val="0"/>
                <w:color w:val="12263B"/>
                <w:sz w:val="17"/>
              </w:rPr>
              <w:t>Sample Product Requirements Document (PRD) + Software Requirements Specification (SRS)</w:t>
            </w:r>
          </w:p>
        </w:tc>
      </w:tr>
    </w:tbl>
    <w:p>
      <w:pPr>
        <w:spacing w:after="20"/>
      </w:pPr>
    </w:p>
    <w:tbl>
      <w:tblPr>
        <w:tblW w:type="auto" w:w="0"/>
        <w:tblLayout w:type="fixed"/>
        <w:tblLook w:firstColumn="1" w:firstRow="1" w:lastColumn="0" w:lastRow="0" w:noHBand="0" w:noVBand="1" w:val="04A0"/>
      </w:tblPr>
      <w:tblGrid>
        <w:gridCol w:w="1757"/>
        <w:gridCol w:w="7767"/>
      </w:tblGrid>
      <w:tr>
        <w:trPr>
          <w:cantSplit/>
        </w:trPr>
        <w:tc>
          <w:tcPr>
            <w:tcW w:type="dxa" w:w="4791"/>
            <w:shd w:fill="e8f5f5"/>
            <w:tcMar>
              <w:top w:w="120" w:type="dxa"/>
              <w:start w:w="130" w:type="dxa"/>
              <w:bottom w:w="120" w:type="dxa"/>
              <w:end w:w="130" w:type="dxa"/>
            </w:tcMar>
          </w:tcPr>
          <w:p>
            <w:pPr>
              <w:pStyle w:val="TableText"/>
            </w:pPr>
            <w:r>
              <w:rPr>
                <w:b/>
                <w:i w:val="0"/>
                <w:color w:val="0A8995"/>
                <w:sz w:val="16"/>
              </w:rPr>
              <w:t>VERSION</w:t>
            </w:r>
          </w:p>
        </w:tc>
        <w:tc>
          <w:tcPr>
            <w:tcW w:type="dxa" w:w="4791"/>
            <w:shd w:fill="e8f5f5"/>
            <w:tcMar>
              <w:top w:w="120" w:type="dxa"/>
              <w:start w:w="130" w:type="dxa"/>
              <w:bottom w:w="120" w:type="dxa"/>
              <w:end w:w="130" w:type="dxa"/>
            </w:tcMar>
          </w:tcPr>
          <w:p>
            <w:pPr>
              <w:pStyle w:val="TableText"/>
            </w:pPr>
            <w:r>
              <w:rPr>
                <w:b w:val="0"/>
                <w:i w:val="0"/>
                <w:color w:val="12263B"/>
                <w:sz w:val="17"/>
              </w:rPr>
              <w:t>0.1 - discussion baseline / for review</w:t>
            </w:r>
          </w:p>
        </w:tc>
      </w:tr>
    </w:tbl>
    <w:p>
      <w:pPr>
        <w:spacing w:after="20"/>
      </w:pPr>
    </w:p>
    <w:tbl>
      <w:tblPr>
        <w:tblW w:type="auto" w:w="0"/>
        <w:tblLayout w:type="fixed"/>
        <w:tblLook w:firstColumn="1" w:firstRow="1" w:lastColumn="0" w:lastRow="0" w:noHBand="0" w:noVBand="1" w:val="04A0"/>
      </w:tblPr>
      <w:tblGrid>
        <w:gridCol w:w="1757"/>
        <w:gridCol w:w="7767"/>
      </w:tblGrid>
      <w:tr>
        <w:trPr>
          <w:cantSplit/>
        </w:trPr>
        <w:tc>
          <w:tcPr>
            <w:tcW w:type="dxa" w:w="4791"/>
            <w:shd w:fill="e8f5f5"/>
            <w:tcMar>
              <w:top w:w="120" w:type="dxa"/>
              <w:start w:w="130" w:type="dxa"/>
              <w:bottom w:w="120" w:type="dxa"/>
              <w:end w:w="130" w:type="dxa"/>
            </w:tcMar>
          </w:tcPr>
          <w:p>
            <w:pPr>
              <w:pStyle w:val="TableText"/>
            </w:pPr>
            <w:r>
              <w:rPr>
                <w:b/>
                <w:i w:val="0"/>
                <w:color w:val="0A8995"/>
                <w:sz w:val="16"/>
              </w:rPr>
              <w:t>DATE</w:t>
            </w:r>
          </w:p>
        </w:tc>
        <w:tc>
          <w:tcPr>
            <w:tcW w:type="dxa" w:w="4791"/>
            <w:shd w:fill="e8f5f5"/>
            <w:tcMar>
              <w:top w:w="120" w:type="dxa"/>
              <w:start w:w="130" w:type="dxa"/>
              <w:bottom w:w="120" w:type="dxa"/>
              <w:end w:w="130" w:type="dxa"/>
            </w:tcMar>
          </w:tcPr>
          <w:p>
            <w:pPr>
              <w:pStyle w:val="TableText"/>
            </w:pPr>
            <w:r>
              <w:rPr>
                <w:b w:val="0"/>
                <w:i w:val="0"/>
                <w:color w:val="12263B"/>
                <w:sz w:val="17"/>
              </w:rPr>
              <w:t>18 October 2026</w:t>
            </w:r>
          </w:p>
        </w:tc>
      </w:tr>
    </w:tbl>
    <w:p>
      <w:pPr>
        <w:spacing w:after="20"/>
      </w:pPr>
    </w:p>
    <w:tbl>
      <w:tblPr>
        <w:tblW w:type="auto" w:w="0"/>
        <w:tblLayout w:type="fixed"/>
        <w:tblLook w:firstColumn="1" w:firstRow="1" w:lastColumn="0" w:lastRow="0" w:noHBand="0" w:noVBand="1" w:val="04A0"/>
      </w:tblPr>
      <w:tblGrid>
        <w:gridCol w:w="1757"/>
        <w:gridCol w:w="7767"/>
      </w:tblGrid>
      <w:tr>
        <w:trPr>
          <w:cantSplit/>
        </w:trPr>
        <w:tc>
          <w:tcPr>
            <w:tcW w:type="dxa" w:w="4791"/>
            <w:shd w:fill="e8f5f5"/>
            <w:tcMar>
              <w:top w:w="120" w:type="dxa"/>
              <w:start w:w="130" w:type="dxa"/>
              <w:bottom w:w="120" w:type="dxa"/>
              <w:end w:w="130" w:type="dxa"/>
            </w:tcMar>
          </w:tcPr>
          <w:p>
            <w:pPr>
              <w:pStyle w:val="TableText"/>
            </w:pPr>
            <w:r>
              <w:rPr>
                <w:b/>
                <w:i w:val="0"/>
                <w:color w:val="0A8995"/>
                <w:sz w:val="16"/>
              </w:rPr>
              <w:t>PROJECT STATUS</w:t>
            </w:r>
          </w:p>
        </w:tc>
        <w:tc>
          <w:tcPr>
            <w:tcW w:type="dxa" w:w="4791"/>
            <w:shd w:fill="e8f5f5"/>
            <w:tcMar>
              <w:top w:w="120" w:type="dxa"/>
              <w:start w:w="130" w:type="dxa"/>
              <w:bottom w:w="120" w:type="dxa"/>
              <w:end w:w="130" w:type="dxa"/>
            </w:tcMar>
          </w:tcPr>
          <w:p>
            <w:pPr>
              <w:pStyle w:val="TableText"/>
            </w:pPr>
            <w:r>
              <w:rPr>
                <w:b w:val="0"/>
                <w:i w:val="0"/>
                <w:color w:val="12263B"/>
                <w:sz w:val="17"/>
              </w:rPr>
              <w:t>Proposed architecture and requirements; implementation not verified</w:t>
            </w:r>
          </w:p>
        </w:tc>
      </w:tr>
    </w:tbl>
    <w:p>
      <w:pPr>
        <w:spacing w:after="20"/>
      </w:pPr>
    </w:p>
    <w:p>
      <w:pPr>
        <w:spacing w:before="660"/>
      </w:pPr>
      <w:r>
        <w:rPr>
          <w:b/>
          <w:i w:val="0"/>
          <w:color w:val="0A8995"/>
          <w:sz w:val="16"/>
        </w:rPr>
        <w:t>DOCUMENT INTENT</w:t>
      </w:r>
    </w:p>
    <w:p>
      <w:r>
        <w:rPr>
          <w:b w:val="0"/>
          <w:i w:val="0"/>
          <w:color w:val="202E3D"/>
          <w:sz w:val="19"/>
        </w:rPr>
        <w:t>This report converts the current QuantPilot BTC concept into a structured sample requirements baseline. Technical choices, numeric targets and integrations remain subject to feasibility assessment and sign-off.</w:t>
      </w:r>
    </w:p>
    <w:p>
      <w:pPr>
        <w:spacing w:before="600"/>
      </w:pPr>
      <w:r>
        <w:rPr>
          <w:b w:val="0"/>
          <w:i w:val="0"/>
          <w:color w:val="5B6A78"/>
          <w:sz w:val="16"/>
        </w:rPr>
        <w:t>Confidential working draft  |  For product/design/engineering review  |  Not a trading recommendation</w:t>
      </w:r>
    </w:p>
    <w:p>
      <w:r>
        <w:br w:type="page"/>
      </w:r>
    </w:p>
    <w:p>
      <w:pPr>
        <w:pStyle w:val="Heading1"/>
      </w:pPr>
      <w:r>
        <w:t>01  Executive brief</w:t>
      </w:r>
    </w:p>
    <w:p>
      <w:pPr>
        <w:pStyle w:val="SmallText"/>
      </w:pPr>
      <w:r>
        <w:t>A concise description of what the system should do and what is deliberately out of scope.</w:t>
      </w:r>
    </w:p>
    <w:p>
      <w:pPr>
        <w:pStyle w:val="Heading2"/>
      </w:pPr>
      <w:r>
        <w:t>Product vision</w:t>
      </w:r>
    </w:p>
    <w:p>
      <w:r>
        <w:t>QuantPilot BTC is proposed as a Bitcoin-focused quantitative research and decision-support system. It should integrate market, derivatives and event data; produce explainable probabilistic signals; evaluate them with realistic simulations; and place simulated trades only when risk and data-quality gates permit.</w:t>
      </w:r>
    </w:p>
    <w:p>
      <w:pPr>
        <w:pStyle w:val="Heading2"/>
      </w:pPr>
      <w:r>
        <w:t>Problem to solve</w:t>
      </w:r>
    </w:p>
    <w:p>
      <w:r>
        <w:t>Retail and independent quantitative researchers often combine scattered charts, manual indicators, social/news inputs and unvalidated strategies. This can create inconsistent decisions, look-ahead bias, missing trading costs and unmanaged drawdowns. QuantPilot BTC aims to provide one reproducible workflow from data to decision to evaluation.</w:t>
      </w:r>
    </w:p>
    <w:tbl>
      <w:tblPr>
        <w:tblW w:type="auto" w:w="0"/>
        <w:tblLayout w:type="fixed"/>
        <w:tblLook w:firstColumn="1" w:firstRow="1" w:lastColumn="0" w:lastRow="0" w:noHBand="0" w:noVBand="1" w:val="04A0"/>
      </w:tblPr>
      <w:tblGrid>
        <w:gridCol w:w="9524"/>
      </w:tblGrid>
      <w:tr>
        <w:tc>
          <w:tcPr>
            <w:tcW w:type="dxa" w:w="9582"/>
            <w:shd w:fill="E5F2F4"/>
            <w:tcMar>
              <w:top w:w="80" w:type="dxa"/>
              <w:start w:w="100" w:type="dxa"/>
              <w:bottom w:w="80" w:type="dxa"/>
              <w:end w:w="100" w:type="dxa"/>
            </w:tcMar>
          </w:tcPr>
          <w:p>
            <w:pPr>
              <w:pStyle w:val="TableText"/>
            </w:pPr>
            <w:r>
              <w:rPr>
                <w:b/>
                <w:i w:val="0"/>
                <w:color w:val="0A8995"/>
                <w:sz w:val="16"/>
              </w:rPr>
              <w:t>BASELINE DESIGN CHOICES</w:t>
            </w:r>
          </w:p>
        </w:tc>
      </w:tr>
    </w:tbl>
    <w:p>
      <w:pPr>
        <w:spacing w:after="0"/>
      </w:pPr>
    </w:p>
    <w:tbl>
      <w:tblPr>
        <w:tblW w:type="auto" w:w="0"/>
        <w:jc w:val="center"/>
        <w:tblLayout w:type="fixed"/>
        <w:tblLook w:firstColumn="1" w:firstRow="1" w:lastColumn="0" w:lastRow="0" w:noHBand="0" w:noVBand="1" w:val="04A0"/>
      </w:tblPr>
      <w:tblGrid>
        <w:gridCol w:w="1843"/>
        <w:gridCol w:w="7682"/>
      </w:tblGrid>
      <w:tr>
        <w:trPr>
          <w:tblHeader w:val="true"/>
          <w:cantSplit/>
        </w:trPr>
        <w:tc>
          <w:tcPr>
            <w:tcW w:type="dxa" w:w="4791"/>
            <w:vAlign w:val="center"/>
            <w:shd w:fill="142B42"/>
            <w:tcMar>
              <w:top w:w="95" w:type="dxa"/>
              <w:start w:w="90" w:type="dxa"/>
              <w:bottom w:w="95" w:type="dxa"/>
              <w:end w:w="90" w:type="dxa"/>
            </w:tcMar>
          </w:tcPr>
          <w:p>
            <w:pPr>
              <w:pStyle w:val="TableText"/>
            </w:pPr>
            <w:r>
              <w:rPr>
                <w:b/>
                <w:color w:val="FFFFFF"/>
                <w:sz w:val="15"/>
              </w:rPr>
              <w:t>DIMENSION</w:t>
            </w:r>
          </w:p>
        </w:tc>
        <w:tc>
          <w:tcPr>
            <w:tcW w:type="dxa" w:w="4791"/>
            <w:vAlign w:val="center"/>
            <w:shd w:fill="142B42"/>
            <w:tcMar>
              <w:top w:w="95" w:type="dxa"/>
              <w:start w:w="90" w:type="dxa"/>
              <w:bottom w:w="95" w:type="dxa"/>
              <w:end w:w="90" w:type="dxa"/>
            </w:tcMar>
          </w:tcPr>
          <w:p>
            <w:pPr>
              <w:pStyle w:val="TableText"/>
            </w:pPr>
            <w:r>
              <w:rPr>
                <w:b/>
                <w:color w:val="FFFFFF"/>
                <w:sz w:val="15"/>
              </w:rPr>
              <w:t>WORKING REQUIREMENT / DIRECTION</w:t>
            </w:r>
          </w:p>
        </w:tc>
      </w:tr>
      <w:tr>
        <w:trPr>
          <w:cantSplit/>
        </w:trPr>
        <w:tc>
          <w:tcPr>
            <w:tcW w:type="dxa" w:w="1843"/>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Instrument</w:t>
            </w:r>
          </w:p>
        </w:tc>
        <w:tc>
          <w:tcPr>
            <w:tcW w:type="dxa" w:w="7682"/>
            <w:vAlign w:val="center"/>
            <w:tcMar>
              <w:top w:w="85" w:type="dxa"/>
              <w:start w:w="100" w:type="dxa"/>
              <w:bottom w:w="85" w:type="dxa"/>
              <w:end w:w="100" w:type="dxa"/>
            </w:tcMar>
            <w:shd w:fill="F1F6F8"/>
            <w:tcBorders>
              <w:bottom w:val="single" w:sz="3" w:color="D9E3E8"/>
            </w:tcBorders>
          </w:tcPr>
          <w:p>
            <w:pPr>
              <w:pStyle w:val="TableText"/>
            </w:pPr>
            <w:r/>
            <w:r>
              <w:rPr>
                <w:sz w:val="16"/>
              </w:rPr>
              <w:t>Bitcoin only. Initial BTC/USDT or BTC/USD trading venue and spot/perpetual scope: to be confirmed.</w:t>
            </w:r>
          </w:p>
        </w:tc>
      </w:tr>
      <w:tr>
        <w:trPr>
          <w:cantSplit/>
        </w:trPr>
        <w:tc>
          <w:tcPr>
            <w:tcW w:type="dxa" w:w="1843"/>
            <w:vAlign w:val="center"/>
            <w:tcMar>
              <w:top w:w="85" w:type="dxa"/>
              <w:start w:w="100" w:type="dxa"/>
              <w:bottom w:w="85" w:type="dxa"/>
              <w:end w:w="100" w:type="dxa"/>
            </w:tcMar>
            <w:tcBorders>
              <w:bottom w:val="single" w:sz="3" w:color="D9E3E8"/>
            </w:tcBorders>
          </w:tcPr>
          <w:p>
            <w:pPr>
              <w:pStyle w:val="TableText"/>
            </w:pPr>
            <w:r/>
            <w:r>
              <w:rPr>
                <w:b/>
                <w:color w:val="12263B"/>
                <w:sz w:val="16"/>
              </w:rPr>
              <w:t>Trade horizon</w:t>
            </w:r>
          </w:p>
        </w:tc>
        <w:tc>
          <w:tcPr>
            <w:tcW w:type="dxa" w:w="7682"/>
            <w:vAlign w:val="center"/>
            <w:tcMar>
              <w:top w:w="85" w:type="dxa"/>
              <w:start w:w="100" w:type="dxa"/>
              <w:bottom w:w="85" w:type="dxa"/>
              <w:end w:w="100" w:type="dxa"/>
            </w:tcMar>
            <w:tcBorders>
              <w:bottom w:val="single" w:sz="3" w:color="D9E3E8"/>
            </w:tcBorders>
          </w:tcPr>
          <w:p>
            <w:pPr>
              <w:pStyle w:val="TableText"/>
            </w:pPr>
            <w:r/>
            <w:r>
              <w:rPr>
                <w:sz w:val="16"/>
              </w:rPr>
              <w:t>Selective intraday positions, generally held from ~15 minutes to several hours; not high-frequency trading.</w:t>
            </w:r>
          </w:p>
        </w:tc>
      </w:tr>
      <w:tr>
        <w:trPr>
          <w:cantSplit/>
        </w:trPr>
        <w:tc>
          <w:tcPr>
            <w:tcW w:type="dxa" w:w="1843"/>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Action space</w:t>
            </w:r>
          </w:p>
        </w:tc>
        <w:tc>
          <w:tcPr>
            <w:tcW w:type="dxa" w:w="7682"/>
            <w:vAlign w:val="center"/>
            <w:tcMar>
              <w:top w:w="85" w:type="dxa"/>
              <w:start w:w="100" w:type="dxa"/>
              <w:bottom w:w="85" w:type="dxa"/>
              <w:end w:w="100" w:type="dxa"/>
            </w:tcMar>
            <w:shd w:fill="F1F6F8"/>
            <w:tcBorders>
              <w:bottom w:val="single" w:sz="3" w:color="D9E3E8"/>
            </w:tcBorders>
          </w:tcPr>
          <w:p>
            <w:pPr>
              <w:pStyle w:val="TableText"/>
            </w:pPr>
            <w:r/>
            <w:r>
              <w:rPr>
                <w:sz w:val="16"/>
              </w:rPr>
              <w:t>Long / Short / No trade, with a permitted instrument-specific mode (spot-only cannot short without margin).</w:t>
            </w:r>
          </w:p>
        </w:tc>
      </w:tr>
      <w:tr>
        <w:trPr>
          <w:cantSplit/>
        </w:trPr>
        <w:tc>
          <w:tcPr>
            <w:tcW w:type="dxa" w:w="1843"/>
            <w:vAlign w:val="center"/>
            <w:tcMar>
              <w:top w:w="85" w:type="dxa"/>
              <w:start w:w="100" w:type="dxa"/>
              <w:bottom w:w="85" w:type="dxa"/>
              <w:end w:w="100" w:type="dxa"/>
            </w:tcMar>
            <w:tcBorders>
              <w:bottom w:val="single" w:sz="3" w:color="D9E3E8"/>
            </w:tcBorders>
          </w:tcPr>
          <w:p>
            <w:pPr>
              <w:pStyle w:val="TableText"/>
            </w:pPr>
            <w:r/>
            <w:r>
              <w:rPr>
                <w:b/>
                <w:color w:val="12263B"/>
                <w:sz w:val="16"/>
              </w:rPr>
              <w:t>Deployment mode</w:t>
            </w:r>
          </w:p>
        </w:tc>
        <w:tc>
          <w:tcPr>
            <w:tcW w:type="dxa" w:w="7682"/>
            <w:vAlign w:val="center"/>
            <w:tcMar>
              <w:top w:w="85" w:type="dxa"/>
              <w:start w:w="100" w:type="dxa"/>
              <w:bottom w:w="85" w:type="dxa"/>
              <w:end w:w="100" w:type="dxa"/>
            </w:tcMar>
            <w:tcBorders>
              <w:bottom w:val="single" w:sz="3" w:color="D9E3E8"/>
            </w:tcBorders>
          </w:tcPr>
          <w:p>
            <w:pPr>
              <w:pStyle w:val="TableText"/>
            </w:pPr>
            <w:r/>
            <w:r>
              <w:rPr>
                <w:sz w:val="16"/>
              </w:rPr>
              <w:t>Backtesting and paper trading first. Live order execution explicitly excluded from MVP.</w:t>
            </w:r>
          </w:p>
        </w:tc>
      </w:tr>
      <w:tr>
        <w:trPr>
          <w:cantSplit/>
        </w:trPr>
        <w:tc>
          <w:tcPr>
            <w:tcW w:type="dxa" w:w="1843"/>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Compute</w:t>
            </w:r>
          </w:p>
        </w:tc>
        <w:tc>
          <w:tcPr>
            <w:tcW w:type="dxa" w:w="7682"/>
            <w:vAlign w:val="center"/>
            <w:tcMar>
              <w:top w:w="85" w:type="dxa"/>
              <w:start w:w="100" w:type="dxa"/>
              <w:bottom w:w="85" w:type="dxa"/>
              <w:end w:w="100" w:type="dxa"/>
            </w:tcMar>
            <w:shd w:fill="F1F6F8"/>
            <w:tcBorders>
              <w:bottom w:val="single" w:sz="3" w:color="D9E3E8"/>
            </w:tcBorders>
          </w:tcPr>
          <w:p>
            <w:pPr>
              <w:pStyle w:val="TableText"/>
            </w:pPr>
            <w:r/>
            <w:r>
              <w:rPr>
                <w:sz w:val="16"/>
              </w:rPr>
              <w:t>Developable on a Windows laptop/CPU; use lightweight baselines before heavier RL pipelines.</w:t>
            </w:r>
          </w:p>
        </w:tc>
      </w:tr>
      <w:tr>
        <w:trPr>
          <w:cantSplit/>
        </w:trPr>
        <w:tc>
          <w:tcPr>
            <w:tcW w:type="dxa" w:w="1843"/>
            <w:vAlign w:val="center"/>
            <w:tcMar>
              <w:top w:w="85" w:type="dxa"/>
              <w:start w:w="100" w:type="dxa"/>
              <w:bottom w:w="85" w:type="dxa"/>
              <w:end w:w="100" w:type="dxa"/>
            </w:tcMar>
            <w:tcBorders>
              <w:bottom w:val="single" w:sz="3" w:color="D9E3E8"/>
            </w:tcBorders>
          </w:tcPr>
          <w:p>
            <w:pPr>
              <w:pStyle w:val="TableText"/>
            </w:pPr>
            <w:r/>
            <w:r>
              <w:rPr>
                <w:b/>
                <w:color w:val="12263B"/>
                <w:sz w:val="16"/>
              </w:rPr>
              <w:t>Priority principle</w:t>
            </w:r>
          </w:p>
        </w:tc>
        <w:tc>
          <w:tcPr>
            <w:tcW w:type="dxa" w:w="7682"/>
            <w:vAlign w:val="center"/>
            <w:tcMar>
              <w:top w:w="85" w:type="dxa"/>
              <w:start w:w="100" w:type="dxa"/>
              <w:bottom w:w="85" w:type="dxa"/>
              <w:end w:w="100" w:type="dxa"/>
            </w:tcMar>
            <w:tcBorders>
              <w:bottom w:val="single" w:sz="3" w:color="D9E3E8"/>
            </w:tcBorders>
          </w:tcPr>
          <w:p>
            <w:pPr>
              <w:pStyle w:val="TableText"/>
            </w:pPr>
            <w:r/>
            <w:r>
              <w:rPr>
                <w:sz w:val="16"/>
              </w:rPr>
              <w:t>Risk and reliable evaluation override predictive complexity; no model can bypass hard limits.</w:t>
            </w:r>
          </w:p>
        </w:tc>
      </w:tr>
    </w:tbl>
    <w:p>
      <w:pPr>
        <w:spacing w:after="0"/>
      </w:pPr>
    </w:p>
    <w:p>
      <w:pPr>
        <w:pStyle w:val="Heading2"/>
      </w:pPr>
      <w:r>
        <w:t>Expected deliverables</w:t>
      </w:r>
    </w:p>
    <w:p>
      <w:pPr>
        <w:spacing w:after="40"/>
        <w:ind w:left="238" w:hanging="159"/>
      </w:pPr>
      <w:r>
        <w:rPr>
          <w:b/>
          <w:i w:val="0"/>
          <w:color w:val="0A8995"/>
        </w:rPr>
        <w:t xml:space="preserve">•  </w:t>
      </w:r>
      <w:r>
        <w:rPr>
          <w:b w:val="0"/>
          <w:i w:val="0"/>
        </w:rPr>
        <w:t>A reproducible BTC data/feature pipeline and versioned datasets.</w:t>
      </w:r>
    </w:p>
    <w:p>
      <w:pPr>
        <w:spacing w:after="40"/>
        <w:ind w:left="238" w:hanging="159"/>
      </w:pPr>
      <w:r>
        <w:rPr>
          <w:b/>
          <w:i w:val="0"/>
          <w:color w:val="0A8995"/>
        </w:rPr>
        <w:t xml:space="preserve">•  </w:t>
      </w:r>
      <w:r>
        <w:rPr>
          <w:b w:val="0"/>
          <w:i w:val="0"/>
        </w:rPr>
        <w:t>Baseline forecasting and regime models with out-of-sample evaluations.</w:t>
      </w:r>
    </w:p>
    <w:p>
      <w:pPr>
        <w:spacing w:after="40"/>
        <w:ind w:left="238" w:hanging="159"/>
      </w:pPr>
      <w:r>
        <w:rPr>
          <w:b/>
          <w:i w:val="0"/>
          <w:color w:val="0A8995"/>
        </w:rPr>
        <w:t xml:space="preserve">•  </w:t>
      </w:r>
      <w:r>
        <w:rPr>
          <w:b w:val="0"/>
          <w:i w:val="0"/>
        </w:rPr>
        <w:t>A deterministic decision and risk engine that may decline to trade.</w:t>
      </w:r>
    </w:p>
    <w:p>
      <w:pPr>
        <w:spacing w:after="40"/>
        <w:ind w:left="238" w:hanging="159"/>
      </w:pPr>
      <w:r>
        <w:rPr>
          <w:b/>
          <w:i w:val="0"/>
          <w:color w:val="0A8995"/>
        </w:rPr>
        <w:t xml:space="preserve">•  </w:t>
      </w:r>
      <w:r>
        <w:rPr>
          <w:b w:val="0"/>
          <w:i w:val="0"/>
        </w:rPr>
        <w:t>Cost-aware backtesting, walk-forward analysis and reconciled paper trading.</w:t>
      </w:r>
    </w:p>
    <w:p>
      <w:pPr>
        <w:spacing w:after="40"/>
        <w:ind w:left="238" w:hanging="159"/>
      </w:pPr>
      <w:r>
        <w:rPr>
          <w:b/>
          <w:i w:val="0"/>
          <w:color w:val="0A8995"/>
        </w:rPr>
        <w:t xml:space="preserve">•  </w:t>
      </w:r>
      <w:r>
        <w:rPr>
          <w:b w:val="0"/>
          <w:i w:val="0"/>
        </w:rPr>
        <w:t>An API-driven dashboard with signals, portfolio/risk state and full audit trails.</w:t>
      </w:r>
    </w:p>
    <w:tbl>
      <w:tblPr>
        <w:tblW w:type="auto" w:w="0"/>
        <w:tblLayout w:type="fixed"/>
        <w:tblLook w:firstColumn="1" w:firstRow="1" w:lastColumn="0" w:lastRow="0" w:noHBand="0" w:noVBand="1" w:val="04A0"/>
      </w:tblPr>
      <w:tblGrid>
        <w:gridCol w:w="1757"/>
        <w:gridCol w:w="7767"/>
      </w:tblGrid>
      <w:tr>
        <w:trPr>
          <w:cantSplit/>
        </w:trPr>
        <w:tc>
          <w:tcPr>
            <w:tcW w:type="dxa" w:w="4791"/>
            <w:shd w:fill="e8f5f5"/>
            <w:tcMar>
              <w:top w:w="120" w:type="dxa"/>
              <w:start w:w="130" w:type="dxa"/>
              <w:bottom w:w="120" w:type="dxa"/>
              <w:end w:w="130" w:type="dxa"/>
            </w:tcMar>
          </w:tcPr>
          <w:p>
            <w:pPr>
              <w:pStyle w:val="TableText"/>
            </w:pPr>
            <w:r>
              <w:rPr>
                <w:b/>
                <w:i w:val="0"/>
                <w:color w:val="0A8995"/>
                <w:sz w:val="16"/>
              </w:rPr>
              <w:t>CRITICAL CAVEAT</w:t>
            </w:r>
          </w:p>
        </w:tc>
        <w:tc>
          <w:tcPr>
            <w:tcW w:type="dxa" w:w="4791"/>
            <w:shd w:fill="e8f5f5"/>
            <w:tcMar>
              <w:top w:w="120" w:type="dxa"/>
              <w:start w:w="130" w:type="dxa"/>
              <w:bottom w:w="120" w:type="dxa"/>
              <w:end w:w="130" w:type="dxa"/>
            </w:tcMar>
          </w:tcPr>
          <w:p>
            <w:pPr>
              <w:pStyle w:val="TableText"/>
            </w:pPr>
            <w:r>
              <w:rPr>
                <w:b w:val="0"/>
                <w:i w:val="0"/>
                <w:color w:val="12263B"/>
                <w:sz w:val="17"/>
              </w:rPr>
              <w:t>No expected return, win rate or profitable strategy is established by this requirements document.</w:t>
            </w:r>
          </w:p>
        </w:tc>
      </w:tr>
    </w:tbl>
    <w:p>
      <w:pPr>
        <w:spacing w:after="20"/>
      </w:pPr>
    </w:p>
    <w:p>
      <w:r>
        <w:br w:type="page"/>
      </w:r>
    </w:p>
    <w:p>
      <w:pPr>
        <w:pStyle w:val="Heading1"/>
      </w:pPr>
      <w:r>
        <w:t>02  Objectives, users &amp; boundaries</w:t>
      </w:r>
    </w:p>
    <w:p>
      <w:pPr>
        <w:pStyle w:val="Heading2"/>
      </w:pPr>
      <w:r>
        <w:t>Product objectives</w:t>
      </w:r>
    </w:p>
    <w:tbl>
      <w:tblPr>
        <w:tblW w:type="auto" w:w="0"/>
        <w:jc w:val="center"/>
        <w:tblLayout w:type="fixed"/>
        <w:tblLook w:firstColumn="1" w:firstRow="1" w:lastColumn="0" w:lastRow="0" w:noHBand="0" w:noVBand="1" w:val="04A0"/>
      </w:tblPr>
      <w:tblGrid>
        <w:gridCol w:w="1134"/>
        <w:gridCol w:w="4592"/>
        <w:gridCol w:w="3798"/>
      </w:tblGrid>
      <w:tr>
        <w:trPr>
          <w:tblHeader w:val="true"/>
          <w:cantSplit/>
        </w:trPr>
        <w:tc>
          <w:tcPr>
            <w:tcW w:type="dxa" w:w="3194"/>
            <w:vAlign w:val="center"/>
            <w:shd w:fill="142B42"/>
            <w:tcMar>
              <w:top w:w="95" w:type="dxa"/>
              <w:start w:w="90" w:type="dxa"/>
              <w:bottom w:w="95" w:type="dxa"/>
              <w:end w:w="90" w:type="dxa"/>
            </w:tcMar>
          </w:tcPr>
          <w:p>
            <w:pPr>
              <w:pStyle w:val="TableText"/>
            </w:pPr>
            <w:r>
              <w:rPr>
                <w:b/>
                <w:color w:val="FFFFFF"/>
                <w:sz w:val="15"/>
              </w:rPr>
              <w:t>ID</w:t>
            </w:r>
          </w:p>
        </w:tc>
        <w:tc>
          <w:tcPr>
            <w:tcW w:type="dxa" w:w="3194"/>
            <w:vAlign w:val="center"/>
            <w:shd w:fill="142B42"/>
            <w:tcMar>
              <w:top w:w="95" w:type="dxa"/>
              <w:start w:w="90" w:type="dxa"/>
              <w:bottom w:w="95" w:type="dxa"/>
              <w:end w:w="90" w:type="dxa"/>
            </w:tcMar>
          </w:tcPr>
          <w:p>
            <w:pPr>
              <w:pStyle w:val="TableText"/>
            </w:pPr>
            <w:r>
              <w:rPr>
                <w:b/>
                <w:color w:val="FFFFFF"/>
                <w:sz w:val="15"/>
              </w:rPr>
              <w:t>OBJECTIVE</w:t>
            </w:r>
          </w:p>
        </w:tc>
        <w:tc>
          <w:tcPr>
            <w:tcW w:type="dxa" w:w="3194"/>
            <w:vAlign w:val="center"/>
            <w:shd w:fill="142B42"/>
            <w:tcMar>
              <w:top w:w="95" w:type="dxa"/>
              <w:start w:w="90" w:type="dxa"/>
              <w:bottom w:w="95" w:type="dxa"/>
              <w:end w:w="90" w:type="dxa"/>
            </w:tcMar>
          </w:tcPr>
          <w:p>
            <w:pPr>
              <w:pStyle w:val="TableText"/>
            </w:pPr>
            <w:r>
              <w:rPr>
                <w:b/>
                <w:color w:val="FFFFFF"/>
                <w:sz w:val="15"/>
              </w:rPr>
              <w:t>EVIDENCE OF COMPLETION</w:t>
            </w:r>
          </w:p>
        </w:tc>
      </w:tr>
      <w:tr>
        <w:trPr>
          <w:cantSplit/>
        </w:trPr>
        <w:tc>
          <w:tcPr>
            <w:tcW w:type="dxa" w:w="1134"/>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OBJ-01</w:t>
            </w:r>
          </w:p>
        </w:tc>
        <w:tc>
          <w:tcPr>
            <w:tcW w:type="dxa" w:w="4592"/>
            <w:vAlign w:val="center"/>
            <w:tcMar>
              <w:top w:w="85" w:type="dxa"/>
              <w:start w:w="100" w:type="dxa"/>
              <w:bottom w:w="85" w:type="dxa"/>
              <w:end w:w="100" w:type="dxa"/>
            </w:tcMar>
            <w:shd w:fill="F1F6F8"/>
            <w:tcBorders>
              <w:bottom w:val="single" w:sz="3" w:color="D9E3E8"/>
            </w:tcBorders>
          </w:tcPr>
          <w:p>
            <w:pPr>
              <w:pStyle w:val="TableText"/>
            </w:pPr>
            <w:r/>
            <w:r>
              <w:rPr>
                <w:sz w:val="15"/>
              </w:rPr>
              <w:t>Generate timestamp-correct, reproducible features and model predictions.</w:t>
            </w:r>
          </w:p>
        </w:tc>
        <w:tc>
          <w:tcPr>
            <w:tcW w:type="dxa" w:w="3798"/>
            <w:vAlign w:val="center"/>
            <w:tcMar>
              <w:top w:w="85" w:type="dxa"/>
              <w:start w:w="100" w:type="dxa"/>
              <w:bottom w:w="85" w:type="dxa"/>
              <w:end w:w="100" w:type="dxa"/>
            </w:tcMar>
            <w:shd w:fill="F1F6F8"/>
            <w:tcBorders>
              <w:bottom w:val="single" w:sz="3" w:color="D9E3E8"/>
            </w:tcBorders>
          </w:tcPr>
          <w:p>
            <w:pPr>
              <w:pStyle w:val="TableText"/>
            </w:pPr>
            <w:r/>
            <w:r>
              <w:rPr>
                <w:sz w:val="15"/>
              </w:rPr>
              <w:t>Same inputs + model version reproduce the same scored result.</w:t>
            </w:r>
          </w:p>
        </w:tc>
      </w:tr>
      <w:tr>
        <w:trPr>
          <w:cantSplit/>
        </w:trPr>
        <w:tc>
          <w:tcPr>
            <w:tcW w:type="dxa" w:w="1134"/>
            <w:vAlign w:val="center"/>
            <w:tcMar>
              <w:top w:w="85" w:type="dxa"/>
              <w:start w:w="100" w:type="dxa"/>
              <w:bottom w:w="85" w:type="dxa"/>
              <w:end w:w="100" w:type="dxa"/>
            </w:tcMar>
            <w:tcBorders>
              <w:bottom w:val="single" w:sz="3" w:color="D9E3E8"/>
            </w:tcBorders>
          </w:tcPr>
          <w:p>
            <w:pPr>
              <w:pStyle w:val="TableText"/>
            </w:pPr>
            <w:r/>
            <w:r>
              <w:rPr>
                <w:b/>
                <w:color w:val="12263B"/>
                <w:sz w:val="15"/>
              </w:rPr>
              <w:t>OBJ-02</w:t>
            </w:r>
          </w:p>
        </w:tc>
        <w:tc>
          <w:tcPr>
            <w:tcW w:type="dxa" w:w="4592"/>
            <w:vAlign w:val="center"/>
            <w:tcMar>
              <w:top w:w="85" w:type="dxa"/>
              <w:start w:w="100" w:type="dxa"/>
              <w:bottom w:w="85" w:type="dxa"/>
              <w:end w:w="100" w:type="dxa"/>
            </w:tcMar>
            <w:tcBorders>
              <w:bottom w:val="single" w:sz="3" w:color="D9E3E8"/>
            </w:tcBorders>
          </w:tcPr>
          <w:p>
            <w:pPr>
              <w:pStyle w:val="TableText"/>
            </w:pPr>
            <w:r/>
            <w:r>
              <w:rPr>
                <w:sz w:val="15"/>
              </w:rPr>
              <w:t>Control downside exposure before any simulated order.</w:t>
            </w:r>
          </w:p>
        </w:tc>
        <w:tc>
          <w:tcPr>
            <w:tcW w:type="dxa" w:w="3798"/>
            <w:vAlign w:val="center"/>
            <w:tcMar>
              <w:top w:w="85" w:type="dxa"/>
              <w:start w:w="100" w:type="dxa"/>
              <w:bottom w:w="85" w:type="dxa"/>
              <w:end w:w="100" w:type="dxa"/>
            </w:tcMar>
            <w:tcBorders>
              <w:bottom w:val="single" w:sz="3" w:color="D9E3E8"/>
            </w:tcBorders>
          </w:tcPr>
          <w:p>
            <w:pPr>
              <w:pStyle w:val="TableText"/>
            </w:pPr>
            <w:r/>
            <w:r>
              <w:rPr>
                <w:sz w:val="15"/>
              </w:rPr>
              <w:t>Risk rules block non-compliant orders in automated tests.</w:t>
            </w:r>
          </w:p>
        </w:tc>
      </w:tr>
      <w:tr>
        <w:trPr>
          <w:cantSplit/>
        </w:trPr>
        <w:tc>
          <w:tcPr>
            <w:tcW w:type="dxa" w:w="1134"/>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OBJ-03</w:t>
            </w:r>
          </w:p>
        </w:tc>
        <w:tc>
          <w:tcPr>
            <w:tcW w:type="dxa" w:w="4592"/>
            <w:vAlign w:val="center"/>
            <w:tcMar>
              <w:top w:w="85" w:type="dxa"/>
              <w:start w:w="100" w:type="dxa"/>
              <w:bottom w:w="85" w:type="dxa"/>
              <w:end w:w="100" w:type="dxa"/>
            </w:tcMar>
            <w:shd w:fill="F1F6F8"/>
            <w:tcBorders>
              <w:bottom w:val="single" w:sz="3" w:color="D9E3E8"/>
            </w:tcBorders>
          </w:tcPr>
          <w:p>
            <w:pPr>
              <w:pStyle w:val="TableText"/>
            </w:pPr>
            <w:r/>
            <w:r>
              <w:rPr>
                <w:sz w:val="15"/>
              </w:rPr>
              <w:t>Compare strategies after realistic trading costs.</w:t>
            </w:r>
          </w:p>
        </w:tc>
        <w:tc>
          <w:tcPr>
            <w:tcW w:type="dxa" w:w="3798"/>
            <w:vAlign w:val="center"/>
            <w:tcMar>
              <w:top w:w="85" w:type="dxa"/>
              <w:start w:w="100" w:type="dxa"/>
              <w:bottom w:w="85" w:type="dxa"/>
              <w:end w:w="100" w:type="dxa"/>
            </w:tcMar>
            <w:shd w:fill="F1F6F8"/>
            <w:tcBorders>
              <w:bottom w:val="single" w:sz="3" w:color="D9E3E8"/>
            </w:tcBorders>
          </w:tcPr>
          <w:p>
            <w:pPr>
              <w:pStyle w:val="TableText"/>
            </w:pPr>
            <w:r/>
            <w:r>
              <w:rPr>
                <w:sz w:val="15"/>
              </w:rPr>
              <w:t>Backtests disclose fees, slippage, funding where relevant, and benchmark results.</w:t>
            </w:r>
          </w:p>
        </w:tc>
      </w:tr>
      <w:tr>
        <w:trPr>
          <w:cantSplit/>
        </w:trPr>
        <w:tc>
          <w:tcPr>
            <w:tcW w:type="dxa" w:w="1134"/>
            <w:vAlign w:val="center"/>
            <w:tcMar>
              <w:top w:w="85" w:type="dxa"/>
              <w:start w:w="100" w:type="dxa"/>
              <w:bottom w:w="85" w:type="dxa"/>
              <w:end w:w="100" w:type="dxa"/>
            </w:tcMar>
            <w:tcBorders>
              <w:bottom w:val="single" w:sz="3" w:color="D9E3E8"/>
            </w:tcBorders>
          </w:tcPr>
          <w:p>
            <w:pPr>
              <w:pStyle w:val="TableText"/>
            </w:pPr>
            <w:r/>
            <w:r>
              <w:rPr>
                <w:b/>
                <w:color w:val="12263B"/>
                <w:sz w:val="15"/>
              </w:rPr>
              <w:t>OBJ-04</w:t>
            </w:r>
          </w:p>
        </w:tc>
        <w:tc>
          <w:tcPr>
            <w:tcW w:type="dxa" w:w="4592"/>
            <w:vAlign w:val="center"/>
            <w:tcMar>
              <w:top w:w="85" w:type="dxa"/>
              <w:start w:w="100" w:type="dxa"/>
              <w:bottom w:w="85" w:type="dxa"/>
              <w:end w:w="100" w:type="dxa"/>
            </w:tcMar>
            <w:tcBorders>
              <w:bottom w:val="single" w:sz="3" w:color="D9E3E8"/>
            </w:tcBorders>
          </w:tcPr>
          <w:p>
            <w:pPr>
              <w:pStyle w:val="TableText"/>
            </w:pPr>
            <w:r/>
            <w:r>
              <w:rPr>
                <w:sz w:val="15"/>
              </w:rPr>
              <w:t>Provide transparent, useful decisions to the user.</w:t>
            </w:r>
          </w:p>
        </w:tc>
        <w:tc>
          <w:tcPr>
            <w:tcW w:type="dxa" w:w="3798"/>
            <w:vAlign w:val="center"/>
            <w:tcMar>
              <w:top w:w="85" w:type="dxa"/>
              <w:start w:w="100" w:type="dxa"/>
              <w:bottom w:w="85" w:type="dxa"/>
              <w:end w:w="100" w:type="dxa"/>
            </w:tcMar>
            <w:tcBorders>
              <w:bottom w:val="single" w:sz="3" w:color="D9E3E8"/>
            </w:tcBorders>
          </w:tcPr>
          <w:p>
            <w:pPr>
              <w:pStyle w:val="TableText"/>
            </w:pPr>
            <w:r/>
            <w:r>
              <w:rPr>
                <w:sz w:val="15"/>
              </w:rPr>
              <w:t>Dashboard shows signal, confidence, rationale, risk checks and final action.</w:t>
            </w:r>
          </w:p>
        </w:tc>
      </w:tr>
      <w:tr>
        <w:trPr>
          <w:cantSplit/>
        </w:trPr>
        <w:tc>
          <w:tcPr>
            <w:tcW w:type="dxa" w:w="1134"/>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OBJ-05</w:t>
            </w:r>
          </w:p>
        </w:tc>
        <w:tc>
          <w:tcPr>
            <w:tcW w:type="dxa" w:w="4592"/>
            <w:vAlign w:val="center"/>
            <w:tcMar>
              <w:top w:w="85" w:type="dxa"/>
              <w:start w:w="100" w:type="dxa"/>
              <w:bottom w:w="85" w:type="dxa"/>
              <w:end w:w="100" w:type="dxa"/>
            </w:tcMar>
            <w:shd w:fill="F1F6F8"/>
            <w:tcBorders>
              <w:bottom w:val="single" w:sz="3" w:color="D9E3E8"/>
            </w:tcBorders>
          </w:tcPr>
          <w:p>
            <w:pPr>
              <w:pStyle w:val="TableText"/>
            </w:pPr>
            <w:r/>
            <w:r>
              <w:rPr>
                <w:sz w:val="15"/>
              </w:rPr>
              <w:t>Prove operational reliability without capital at risk.</w:t>
            </w:r>
          </w:p>
        </w:tc>
        <w:tc>
          <w:tcPr>
            <w:tcW w:type="dxa" w:w="3798"/>
            <w:vAlign w:val="center"/>
            <w:tcMar>
              <w:top w:w="85" w:type="dxa"/>
              <w:start w:w="100" w:type="dxa"/>
              <w:bottom w:w="85" w:type="dxa"/>
              <w:end w:w="100" w:type="dxa"/>
            </w:tcMar>
            <w:shd w:fill="F1F6F8"/>
            <w:tcBorders>
              <w:bottom w:val="single" w:sz="3" w:color="D9E3E8"/>
            </w:tcBorders>
          </w:tcPr>
          <w:p>
            <w:pPr>
              <w:pStyle w:val="TableText"/>
            </w:pPr>
            <w:r/>
            <w:r>
              <w:rPr>
                <w:sz w:val="15"/>
              </w:rPr>
              <w:t>Sustained paper-trading run and reconciliation report, then readiness review.</w:t>
            </w:r>
          </w:p>
        </w:tc>
      </w:tr>
    </w:tbl>
    <w:p>
      <w:pPr>
        <w:spacing w:after="0"/>
      </w:pPr>
    </w:p>
    <w:p>
      <w:pPr>
        <w:pStyle w:val="Heading2"/>
      </w:pPr>
      <w:r>
        <w:t>Primary users</w:t>
      </w:r>
    </w:p>
    <w:p>
      <w:r>
        <w:rPr>
          <w:b/>
          <w:i w:val="0"/>
          <w:color w:val="12263B"/>
        </w:rPr>
        <w:t xml:space="preserve">Quant researcher / developer.  </w:t>
      </w:r>
      <w:r>
        <w:rPr>
          <w:b w:val="0"/>
          <w:i w:val="0"/>
        </w:rPr>
        <w:t>Builds features, compares model families, tunes strategy rules, validates experiments and investigates errors.</w:t>
      </w:r>
    </w:p>
    <w:p>
      <w:r>
        <w:rPr>
          <w:b/>
          <w:i w:val="0"/>
          <w:color w:val="12263B"/>
        </w:rPr>
        <w:t xml:space="preserve">Paper-trading operator.  </w:t>
      </w:r>
      <w:r>
        <w:rPr>
          <w:b w:val="0"/>
          <w:i w:val="0"/>
        </w:rPr>
        <w:t>Monitors live BTC conditions, portfolio state, exposure, blocked decisions and system health.</w:t>
      </w:r>
    </w:p>
    <w:p>
      <w:r>
        <w:rPr>
          <w:b/>
          <w:i w:val="0"/>
          <w:color w:val="12263B"/>
        </w:rPr>
        <w:t xml:space="preserve">Reviewer / evaluator.  </w:t>
      </w:r>
      <w:r>
        <w:rPr>
          <w:b w:val="0"/>
          <w:i w:val="0"/>
        </w:rPr>
        <w:t>Audits historical runs, evidence of no data leakage, risk policies, logs and performance claims.</w:t>
      </w:r>
    </w:p>
    <w:p>
      <w:pPr>
        <w:pStyle w:val="Heading2"/>
      </w:pPr>
      <w:r>
        <w:t>Scope classification</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3194"/>
            <w:vAlign w:val="center"/>
            <w:shd w:fill="142B42"/>
            <w:tcMar>
              <w:top w:w="95" w:type="dxa"/>
              <w:start w:w="90" w:type="dxa"/>
              <w:bottom w:w="95" w:type="dxa"/>
              <w:end w:w="90" w:type="dxa"/>
            </w:tcMar>
          </w:tcPr>
          <w:p>
            <w:pPr>
              <w:pStyle w:val="TableText"/>
            </w:pPr>
            <w:r>
              <w:rPr>
                <w:b/>
                <w:color w:val="FFFFFF"/>
                <w:sz w:val="15"/>
              </w:rPr>
              <w:t>MVP - REQUIRED (P0)</w:t>
            </w:r>
          </w:p>
        </w:tc>
        <w:tc>
          <w:tcPr>
            <w:tcW w:type="dxa" w:w="3194"/>
            <w:vAlign w:val="center"/>
            <w:shd w:fill="142B42"/>
            <w:tcMar>
              <w:top w:w="95" w:type="dxa"/>
              <w:start w:w="90" w:type="dxa"/>
              <w:bottom w:w="95" w:type="dxa"/>
              <w:end w:w="90" w:type="dxa"/>
            </w:tcMar>
          </w:tcPr>
          <w:p>
            <w:pPr>
              <w:pStyle w:val="TableText"/>
            </w:pPr>
            <w:r>
              <w:rPr>
                <w:b/>
                <w:color w:val="FFFFFF"/>
                <w:sz w:val="15"/>
              </w:rPr>
              <w:t>NEAR-TERM (P1)</w:t>
            </w:r>
          </w:p>
        </w:tc>
        <w:tc>
          <w:tcPr>
            <w:tcW w:type="dxa" w:w="3194"/>
            <w:vAlign w:val="center"/>
            <w:shd w:fill="142B42"/>
            <w:tcMar>
              <w:top w:w="95" w:type="dxa"/>
              <w:start w:w="90" w:type="dxa"/>
              <w:bottom w:w="95" w:type="dxa"/>
              <w:end w:w="90" w:type="dxa"/>
            </w:tcMar>
          </w:tcPr>
          <w:p>
            <w:pPr>
              <w:pStyle w:val="TableText"/>
            </w:pPr>
            <w:r>
              <w:rPr>
                <w:b/>
                <w:color w:val="FFFFFF"/>
                <w:sz w:val="15"/>
              </w:rPr>
              <w:t>RESEARCH / FUTURE (P2)</w:t>
            </w:r>
          </w:p>
        </w:tc>
      </w:tr>
      <w:tr>
        <w:trPr>
          <w:cantSplit/>
        </w:trPr>
        <w:tc>
          <w:tcPr>
            <w:tcW w:type="dxa" w:w="3175"/>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BTC OHLCV ingestion, features, model baseline, regime indicator</w:t>
            </w:r>
          </w:p>
        </w:tc>
        <w:tc>
          <w:tcPr>
            <w:tcW w:type="dxa" w:w="3175"/>
            <w:vAlign w:val="center"/>
            <w:tcMar>
              <w:top w:w="85" w:type="dxa"/>
              <w:start w:w="100" w:type="dxa"/>
              <w:bottom w:w="85" w:type="dxa"/>
              <w:end w:w="100" w:type="dxa"/>
            </w:tcMar>
            <w:shd w:fill="F1F6F8"/>
            <w:tcBorders>
              <w:bottom w:val="single" w:sz="3" w:color="D9E3E8"/>
            </w:tcBorders>
          </w:tcPr>
          <w:p>
            <w:pPr>
              <w:pStyle w:val="TableText"/>
            </w:pPr>
            <w:r/>
            <w:r>
              <w:rPr>
                <w:sz w:val="15"/>
              </w:rPr>
              <w:t>Funding/open interest/liquidation enrichment, event and news radar</w:t>
            </w:r>
          </w:p>
        </w:tc>
        <w:tc>
          <w:tcPr>
            <w:tcW w:type="dxa" w:w="3175"/>
            <w:vAlign w:val="center"/>
            <w:tcMar>
              <w:top w:w="85" w:type="dxa"/>
              <w:start w:w="100" w:type="dxa"/>
              <w:bottom w:w="85" w:type="dxa"/>
              <w:end w:w="100" w:type="dxa"/>
            </w:tcMar>
            <w:shd w:fill="F1F6F8"/>
            <w:tcBorders>
              <w:bottom w:val="single" w:sz="3" w:color="D9E3E8"/>
            </w:tcBorders>
          </w:tcPr>
          <w:p>
            <w:pPr>
              <w:pStyle w:val="TableText"/>
            </w:pPr>
            <w:r/>
            <w:r>
              <w:rPr>
                <w:sz w:val="15"/>
              </w:rPr>
              <w:t>PPO reinforcement learning agent and agent orchestration</w:t>
            </w:r>
          </w:p>
        </w:tc>
      </w:tr>
      <w:tr>
        <w:trPr>
          <w:cantSplit/>
        </w:trPr>
        <w:tc>
          <w:tcPr>
            <w:tcW w:type="dxa" w:w="3175"/>
            <w:vAlign w:val="center"/>
            <w:tcMar>
              <w:top w:w="85" w:type="dxa"/>
              <w:start w:w="100" w:type="dxa"/>
              <w:bottom w:w="85" w:type="dxa"/>
              <w:end w:w="100" w:type="dxa"/>
            </w:tcMar>
            <w:tcBorders>
              <w:bottom w:val="single" w:sz="3" w:color="D9E3E8"/>
            </w:tcBorders>
          </w:tcPr>
          <w:p>
            <w:pPr>
              <w:pStyle w:val="TableText"/>
            </w:pPr>
            <w:r/>
            <w:r>
              <w:rPr>
                <w:b/>
                <w:color w:val="12263B"/>
                <w:sz w:val="15"/>
              </w:rPr>
              <w:t>Long / Short / No-trade decision rules; hard risk limits</w:t>
            </w:r>
          </w:p>
        </w:tc>
        <w:tc>
          <w:tcPr>
            <w:tcW w:type="dxa" w:w="3175"/>
            <w:vAlign w:val="center"/>
            <w:tcMar>
              <w:top w:w="85" w:type="dxa"/>
              <w:start w:w="100" w:type="dxa"/>
              <w:bottom w:w="85" w:type="dxa"/>
              <w:end w:w="100" w:type="dxa"/>
            </w:tcMar>
            <w:tcBorders>
              <w:bottom w:val="single" w:sz="3" w:color="D9E3E8"/>
            </w:tcBorders>
          </w:tcPr>
          <w:p>
            <w:pPr>
              <w:pStyle w:val="TableText"/>
            </w:pPr>
            <w:r/>
            <w:r>
              <w:rPr>
                <w:sz w:val="15"/>
              </w:rPr>
              <w:t>Explainability enhancements, notifications and richer portfolio analytics</w:t>
            </w:r>
          </w:p>
        </w:tc>
        <w:tc>
          <w:tcPr>
            <w:tcW w:type="dxa" w:w="3175"/>
            <w:vAlign w:val="center"/>
            <w:tcMar>
              <w:top w:w="85" w:type="dxa"/>
              <w:start w:w="100" w:type="dxa"/>
              <w:bottom w:w="85" w:type="dxa"/>
              <w:end w:w="100" w:type="dxa"/>
            </w:tcMar>
            <w:tcBorders>
              <w:bottom w:val="single" w:sz="3" w:color="D9E3E8"/>
            </w:tcBorders>
          </w:tcPr>
          <w:p>
            <w:pPr>
              <w:pStyle w:val="TableText"/>
            </w:pPr>
            <w:r/>
            <w:r>
              <w:rPr>
                <w:sz w:val="15"/>
              </w:rPr>
              <w:t>Multi-venue routing, advanced portfolio optimization</w:t>
            </w:r>
          </w:p>
        </w:tc>
      </w:tr>
      <w:tr>
        <w:trPr>
          <w:cantSplit/>
        </w:trPr>
        <w:tc>
          <w:tcPr>
            <w:tcW w:type="dxa" w:w="3175"/>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Realistic backtest, walk-forward, paper engine and audit</w:t>
            </w:r>
          </w:p>
        </w:tc>
        <w:tc>
          <w:tcPr>
            <w:tcW w:type="dxa" w:w="3175"/>
            <w:vAlign w:val="center"/>
            <w:tcMar>
              <w:top w:w="85" w:type="dxa"/>
              <w:start w:w="100" w:type="dxa"/>
              <w:bottom w:w="85" w:type="dxa"/>
              <w:end w:w="100" w:type="dxa"/>
            </w:tcMar>
            <w:shd w:fill="F1F6F8"/>
            <w:tcBorders>
              <w:bottom w:val="single" w:sz="3" w:color="D9E3E8"/>
            </w:tcBorders>
          </w:tcPr>
          <w:p>
            <w:pPr>
              <w:pStyle w:val="TableText"/>
            </w:pPr>
            <w:r/>
            <w:r>
              <w:rPr>
                <w:sz w:val="15"/>
              </w:rPr>
              <w:t>Expanded stress testing and scenario library</w:t>
            </w:r>
          </w:p>
        </w:tc>
        <w:tc>
          <w:tcPr>
            <w:tcW w:type="dxa" w:w="3175"/>
            <w:vAlign w:val="center"/>
            <w:tcMar>
              <w:top w:w="85" w:type="dxa"/>
              <w:start w:w="100" w:type="dxa"/>
              <w:bottom w:w="85" w:type="dxa"/>
              <w:end w:w="100" w:type="dxa"/>
            </w:tcMar>
            <w:shd w:fill="F1F6F8"/>
            <w:tcBorders>
              <w:bottom w:val="single" w:sz="3" w:color="D9E3E8"/>
            </w:tcBorders>
          </w:tcPr>
          <w:p>
            <w:pPr>
              <w:pStyle w:val="TableText"/>
            </w:pPr>
            <w:r/>
            <w:r>
              <w:rPr>
                <w:sz w:val="15"/>
              </w:rPr>
              <w:t>Real capital / authenticated live exchange execution (separate approval)</w:t>
            </w:r>
          </w:p>
        </w:tc>
      </w:tr>
    </w:tbl>
    <w:p>
      <w:pPr>
        <w:spacing w:after="0"/>
      </w:pPr>
    </w:p>
    <w:p>
      <w:pPr>
        <w:pStyle w:val="Heading2"/>
      </w:pPr>
      <w:r>
        <w:t>Explicit exclusions from first release</w:t>
      </w:r>
    </w:p>
    <w:p>
      <w:pPr>
        <w:spacing w:after="40"/>
        <w:ind w:left="238" w:hanging="159"/>
      </w:pPr>
      <w:r>
        <w:rPr>
          <w:b/>
          <w:i w:val="0"/>
          <w:color w:val="0A8995"/>
        </w:rPr>
        <w:t xml:space="preserve">•  </w:t>
      </w:r>
      <w:r>
        <w:rPr>
          <w:b w:val="0"/>
          <w:i w:val="0"/>
        </w:rPr>
        <w:t>No claims of guaranteed profit or production readiness.</w:t>
      </w:r>
    </w:p>
    <w:p>
      <w:pPr>
        <w:spacing w:after="40"/>
        <w:ind w:left="238" w:hanging="159"/>
      </w:pPr>
      <w:r>
        <w:rPr>
          <w:b/>
          <w:i w:val="0"/>
          <w:color w:val="0A8995"/>
        </w:rPr>
        <w:t xml:space="preserve">•  </w:t>
      </w:r>
      <w:r>
        <w:rPr>
          <w:b w:val="0"/>
          <w:i w:val="0"/>
        </w:rPr>
        <w:t>No leverage/margin recommendation or autonomous use of real funds in MVP.</w:t>
      </w:r>
    </w:p>
    <w:p>
      <w:pPr>
        <w:spacing w:after="40"/>
        <w:ind w:left="238" w:hanging="159"/>
      </w:pPr>
      <w:r>
        <w:rPr>
          <w:b/>
          <w:i w:val="0"/>
          <w:color w:val="0A8995"/>
        </w:rPr>
        <w:t xml:space="preserve">•  </w:t>
      </w:r>
      <w:r>
        <w:rPr>
          <w:b w:val="0"/>
          <w:i w:val="0"/>
        </w:rPr>
        <w:t>No altcoin, equities or multi-asset portfolio scope.</w:t>
      </w:r>
    </w:p>
    <w:p>
      <w:pPr>
        <w:spacing w:after="40"/>
        <w:ind w:left="238" w:hanging="159"/>
      </w:pPr>
      <w:r>
        <w:rPr>
          <w:b/>
          <w:i w:val="0"/>
          <w:color w:val="0A8995"/>
        </w:rPr>
        <w:t xml:space="preserve">•  </w:t>
      </w:r>
      <w:r>
        <w:rPr>
          <w:b w:val="0"/>
          <w:i w:val="0"/>
        </w:rPr>
        <w:t>No sub-second execution or HFT infrastructure.</w:t>
      </w:r>
    </w:p>
    <w:p>
      <w:r>
        <w:br w:type="page"/>
      </w:r>
    </w:p>
    <w:p>
      <w:pPr>
        <w:pStyle w:val="Heading1"/>
      </w:pPr>
      <w:r>
        <w:t>03  User journeys &amp; system behavior</w:t>
      </w:r>
    </w:p>
    <w:p>
      <w:pPr>
        <w:pStyle w:val="Heading2"/>
      </w:pPr>
      <w:r>
        <w:t>Workflow A - Research a BTC signal</w:t>
      </w:r>
    </w:p>
    <w:p>
      <w:pPr>
        <w:spacing w:after="40"/>
        <w:ind w:left="238" w:hanging="159"/>
      </w:pPr>
      <w:r>
        <w:rPr>
          <w:b/>
          <w:i w:val="0"/>
          <w:color w:val="0A8995"/>
        </w:rPr>
        <w:t xml:space="preserve">•  </w:t>
      </w:r>
      <w:r>
        <w:rPr>
          <w:b w:val="0"/>
          <w:i w:val="0"/>
        </w:rPr>
        <w:t>Select a historical period, venue, bar interval, trading horizon and data snapshot.</w:t>
      </w:r>
    </w:p>
    <w:p>
      <w:pPr>
        <w:spacing w:after="40"/>
        <w:ind w:left="238" w:hanging="159"/>
      </w:pPr>
      <w:r>
        <w:rPr>
          <w:b/>
          <w:i w:val="0"/>
          <w:color w:val="0A8995"/>
        </w:rPr>
        <w:t xml:space="preserve">•  </w:t>
      </w:r>
      <w:r>
        <w:rPr>
          <w:b w:val="0"/>
          <w:i w:val="0"/>
        </w:rPr>
        <w:t>Ingest and validate available market/derivatives/event information with timestamps.</w:t>
      </w:r>
    </w:p>
    <w:p>
      <w:pPr>
        <w:spacing w:after="40"/>
        <w:ind w:left="238" w:hanging="159"/>
      </w:pPr>
      <w:r>
        <w:rPr>
          <w:b/>
          <w:i w:val="0"/>
          <w:color w:val="0A8995"/>
        </w:rPr>
        <w:t xml:space="preserve">•  </w:t>
      </w:r>
      <w:r>
        <w:rPr>
          <w:b w:val="0"/>
          <w:i w:val="0"/>
        </w:rPr>
        <w:t>Compute features using only data available at each prediction cutoff.</w:t>
      </w:r>
    </w:p>
    <w:p>
      <w:pPr>
        <w:spacing w:after="40"/>
        <w:ind w:left="238" w:hanging="159"/>
      </w:pPr>
      <w:r>
        <w:rPr>
          <w:b/>
          <w:i w:val="0"/>
          <w:color w:val="0A8995"/>
        </w:rPr>
        <w:t xml:space="preserve">•  </w:t>
      </w:r>
      <w:r>
        <w:rPr>
          <w:b w:val="0"/>
          <w:i w:val="0"/>
        </w:rPr>
        <w:t>Train or load a model; report forecast, regime label and uncertainty estimates.</w:t>
      </w:r>
    </w:p>
    <w:p>
      <w:pPr>
        <w:spacing w:after="40"/>
        <w:ind w:left="238" w:hanging="159"/>
      </w:pPr>
      <w:r>
        <w:rPr>
          <w:b/>
          <w:i w:val="0"/>
          <w:color w:val="0A8995"/>
        </w:rPr>
        <w:t xml:space="preserve">•  </w:t>
      </w:r>
      <w:r>
        <w:rPr>
          <w:b w:val="0"/>
          <w:i w:val="0"/>
        </w:rPr>
        <w:t>Compare against simple baselines; store experiment metadata, code and evaluation artifacts.</w:t>
      </w:r>
    </w:p>
    <w:p>
      <w:pPr>
        <w:pStyle w:val="Heading2"/>
      </w:pPr>
      <w:r>
        <w:t>Workflow B - Backtest a strategy</w:t>
      </w:r>
    </w:p>
    <w:p>
      <w:pPr>
        <w:spacing w:after="40"/>
        <w:ind w:left="238" w:hanging="159"/>
      </w:pPr>
      <w:r>
        <w:rPr>
          <w:b/>
          <w:i w:val="0"/>
          <w:color w:val="0A8995"/>
        </w:rPr>
        <w:t xml:space="preserve">•  </w:t>
      </w:r>
      <w:r>
        <w:rPr>
          <w:b w:val="0"/>
          <w:i w:val="0"/>
        </w:rPr>
        <w:t>Choose a strategy, risk profile, fee/slippage assumptions and reproducible test period.</w:t>
      </w:r>
    </w:p>
    <w:p>
      <w:pPr>
        <w:spacing w:after="40"/>
        <w:ind w:left="238" w:hanging="159"/>
      </w:pPr>
      <w:r>
        <w:rPr>
          <w:b/>
          <w:i w:val="0"/>
          <w:color w:val="0A8995"/>
        </w:rPr>
        <w:t xml:space="preserve">•  </w:t>
      </w:r>
      <w:r>
        <w:rPr>
          <w:b w:val="0"/>
          <w:i w:val="0"/>
        </w:rPr>
        <w:t>Run event-driven simulation; respect latency, funding (where relevant), stops and no-trade conditions.</w:t>
      </w:r>
    </w:p>
    <w:p>
      <w:pPr>
        <w:spacing w:after="40"/>
        <w:ind w:left="238" w:hanging="159"/>
      </w:pPr>
      <w:r>
        <w:rPr>
          <w:b/>
          <w:i w:val="0"/>
          <w:color w:val="0A8995"/>
        </w:rPr>
        <w:t xml:space="preserve">•  </w:t>
      </w:r>
      <w:r>
        <w:rPr>
          <w:b w:val="0"/>
          <w:i w:val="0"/>
        </w:rPr>
        <w:t>Review equity curve, individual fills, exposure, drawdown and metrics net of costs.</w:t>
      </w:r>
    </w:p>
    <w:p>
      <w:pPr>
        <w:spacing w:after="40"/>
        <w:ind w:left="238" w:hanging="159"/>
      </w:pPr>
      <w:r>
        <w:rPr>
          <w:b/>
          <w:i w:val="0"/>
          <w:color w:val="0A8995"/>
        </w:rPr>
        <w:t xml:space="preserve">•  </w:t>
      </w:r>
      <w:r>
        <w:rPr>
          <w:b w:val="0"/>
          <w:i w:val="0"/>
        </w:rPr>
        <w:t>Run walk-forward and stress scenarios before promoting a strategy to paper trading.</w:t>
      </w:r>
    </w:p>
    <w:p>
      <w:pPr>
        <w:pStyle w:val="Heading2"/>
      </w:pPr>
      <w:r>
        <w:t>Workflow C - Operate paper trading</w:t>
      </w:r>
    </w:p>
    <w:p>
      <w:pPr>
        <w:spacing w:after="40"/>
        <w:ind w:left="238" w:hanging="159"/>
      </w:pPr>
      <w:r>
        <w:rPr>
          <w:b/>
          <w:i w:val="0"/>
          <w:color w:val="0A8995"/>
        </w:rPr>
        <w:t xml:space="preserve">•  </w:t>
      </w:r>
      <w:r>
        <w:rPr>
          <w:b w:val="0"/>
          <w:i w:val="0"/>
        </w:rPr>
        <w:t>Read the latest validated market snapshot; flag stale or missing essential inputs.</w:t>
      </w:r>
    </w:p>
    <w:p>
      <w:pPr>
        <w:spacing w:after="40"/>
        <w:ind w:left="238" w:hanging="159"/>
      </w:pPr>
      <w:r>
        <w:rPr>
          <w:b/>
          <w:i w:val="0"/>
          <w:color w:val="0A8995"/>
        </w:rPr>
        <w:t xml:space="preserve">•  </w:t>
      </w:r>
      <w:r>
        <w:rPr>
          <w:b w:val="0"/>
          <w:i w:val="0"/>
        </w:rPr>
        <w:t>Produce candidate action: Long / Short / No trade, with reason codes.</w:t>
      </w:r>
    </w:p>
    <w:p>
      <w:pPr>
        <w:spacing w:after="40"/>
        <w:ind w:left="238" w:hanging="159"/>
      </w:pPr>
      <w:r>
        <w:rPr>
          <w:b/>
          <w:i w:val="0"/>
          <w:color w:val="0A8995"/>
        </w:rPr>
        <w:t xml:space="preserve">•  </w:t>
      </w:r>
      <w:r>
        <w:rPr>
          <w:b w:val="0"/>
          <w:i w:val="0"/>
        </w:rPr>
        <w:t>Apply mandatory data-quality and risk gates; rejected action becomes No trade.</w:t>
      </w:r>
    </w:p>
    <w:p>
      <w:pPr>
        <w:spacing w:after="40"/>
        <w:ind w:left="238" w:hanging="159"/>
      </w:pPr>
      <w:r>
        <w:rPr>
          <w:b/>
          <w:i w:val="0"/>
          <w:color w:val="0A8995"/>
        </w:rPr>
        <w:t xml:space="preserve">•  </w:t>
      </w:r>
      <w:r>
        <w:rPr>
          <w:b w:val="0"/>
          <w:i w:val="0"/>
        </w:rPr>
        <w:t>Simulate orders and fills; update P&amp;L, open positions, ledger and dashboards.</w:t>
      </w:r>
    </w:p>
    <w:p>
      <w:pPr>
        <w:spacing w:after="40"/>
        <w:ind w:left="238" w:hanging="159"/>
      </w:pPr>
      <w:r>
        <w:rPr>
          <w:b/>
          <w:i w:val="0"/>
          <w:color w:val="0A8995"/>
        </w:rPr>
        <w:t xml:space="preserve">•  </w:t>
      </w:r>
      <w:r>
        <w:rPr>
          <w:b w:val="0"/>
          <w:i w:val="0"/>
        </w:rPr>
        <w:t>Allow human pause / kill switch and export a full decision-to-fill audit trail.</w:t>
      </w:r>
    </w:p>
    <w:tbl>
      <w:tblPr>
        <w:tblW w:type="auto" w:w="0"/>
        <w:tblLayout w:type="fixed"/>
        <w:tblLook w:firstColumn="1" w:firstRow="1" w:lastColumn="0" w:lastRow="0" w:noHBand="0" w:noVBand="1" w:val="04A0"/>
      </w:tblPr>
      <w:tblGrid>
        <w:gridCol w:w="9524"/>
      </w:tblGrid>
      <w:tr>
        <w:tc>
          <w:tcPr>
            <w:tcW w:type="dxa" w:w="9582"/>
            <w:shd w:fill="E5F2F4"/>
            <w:tcMar>
              <w:top w:w="80" w:type="dxa"/>
              <w:start w:w="100" w:type="dxa"/>
              <w:bottom w:w="80" w:type="dxa"/>
              <w:end w:w="100" w:type="dxa"/>
            </w:tcMar>
          </w:tcPr>
          <w:p>
            <w:pPr>
              <w:pStyle w:val="TableText"/>
            </w:pPr>
            <w:r>
              <w:rPr>
                <w:b/>
                <w:i w:val="0"/>
                <w:color w:val="0A8995"/>
                <w:sz w:val="16"/>
              </w:rPr>
              <w:t>SIMPLIFIED DECISION SEQUENCE</w:t>
            </w:r>
          </w:p>
        </w:tc>
      </w:tr>
    </w:tbl>
    <w:p>
      <w:pPr>
        <w:spacing w:after="0"/>
      </w:pPr>
    </w:p>
    <w:tbl>
      <w:tblPr>
        <w:tblW w:type="auto" w:w="0"/>
        <w:jc w:val="center"/>
        <w:tblLayout w:type="fixed"/>
        <w:tblLook w:firstColumn="1" w:firstRow="1" w:lastColumn="0" w:lastRow="0" w:noHBand="0" w:noVBand="1" w:val="04A0"/>
      </w:tblPr>
      <w:tblGrid>
        <w:gridCol w:w="1247"/>
        <w:gridCol w:w="5159"/>
        <w:gridCol w:w="3118"/>
      </w:tblGrid>
      <w:tr>
        <w:trPr>
          <w:tblHeader w:val="true"/>
          <w:cantSplit/>
        </w:trPr>
        <w:tc>
          <w:tcPr>
            <w:tcW w:type="dxa" w:w="3194"/>
            <w:vAlign w:val="center"/>
            <w:shd w:fill="142B42"/>
            <w:tcMar>
              <w:top w:w="95" w:type="dxa"/>
              <w:start w:w="90" w:type="dxa"/>
              <w:bottom w:w="95" w:type="dxa"/>
              <w:end w:w="90" w:type="dxa"/>
            </w:tcMar>
          </w:tcPr>
          <w:p>
            <w:pPr>
              <w:pStyle w:val="TableText"/>
            </w:pPr>
            <w:r>
              <w:rPr>
                <w:b/>
                <w:color w:val="FFFFFF"/>
                <w:sz w:val="15"/>
              </w:rPr>
              <w:t>STEP</w:t>
            </w:r>
          </w:p>
        </w:tc>
        <w:tc>
          <w:tcPr>
            <w:tcW w:type="dxa" w:w="3194"/>
            <w:vAlign w:val="center"/>
            <w:shd w:fill="142B42"/>
            <w:tcMar>
              <w:top w:w="95" w:type="dxa"/>
              <w:start w:w="90" w:type="dxa"/>
              <w:bottom w:w="95" w:type="dxa"/>
              <w:end w:w="90" w:type="dxa"/>
            </w:tcMar>
          </w:tcPr>
          <w:p>
            <w:pPr>
              <w:pStyle w:val="TableText"/>
            </w:pPr>
            <w:r>
              <w:rPr>
                <w:b/>
                <w:color w:val="FFFFFF"/>
                <w:sz w:val="15"/>
              </w:rPr>
              <w:t>INPUT / RULE</w:t>
            </w:r>
          </w:p>
        </w:tc>
        <w:tc>
          <w:tcPr>
            <w:tcW w:type="dxa" w:w="3194"/>
            <w:vAlign w:val="center"/>
            <w:shd w:fill="142B42"/>
            <w:tcMar>
              <w:top w:w="95" w:type="dxa"/>
              <w:start w:w="90" w:type="dxa"/>
              <w:bottom w:w="95" w:type="dxa"/>
              <w:end w:w="90" w:type="dxa"/>
            </w:tcMar>
          </w:tcPr>
          <w:p>
            <w:pPr>
              <w:pStyle w:val="TableText"/>
            </w:pPr>
            <w:r>
              <w:rPr>
                <w:b/>
                <w:color w:val="FFFFFF"/>
                <w:sz w:val="15"/>
              </w:rPr>
              <w:t>OUTPUT</w:t>
            </w:r>
          </w:p>
        </w:tc>
      </w:tr>
      <w:tr>
        <w:trPr>
          <w:cantSplit/>
        </w:trPr>
        <w:tc>
          <w:tcPr>
            <w:tcW w:type="dxa" w:w="1247"/>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1  Data gate</w:t>
            </w:r>
          </w:p>
        </w:tc>
        <w:tc>
          <w:tcPr>
            <w:tcW w:type="dxa" w:w="5159"/>
            <w:vAlign w:val="center"/>
            <w:tcMar>
              <w:top w:w="85" w:type="dxa"/>
              <w:start w:w="100" w:type="dxa"/>
              <w:bottom w:w="85" w:type="dxa"/>
              <w:end w:w="100" w:type="dxa"/>
            </w:tcMar>
            <w:shd w:fill="F1F6F8"/>
            <w:tcBorders>
              <w:bottom w:val="single" w:sz="3" w:color="D9E3E8"/>
            </w:tcBorders>
          </w:tcPr>
          <w:p>
            <w:pPr>
              <w:pStyle w:val="TableText"/>
            </w:pPr>
            <w:r/>
            <w:r>
              <w:rPr>
                <w:sz w:val="15"/>
              </w:rPr>
              <w:t>Is market data complete, ordered, fresh and internally consistent?</w:t>
            </w:r>
          </w:p>
        </w:tc>
        <w:tc>
          <w:tcPr>
            <w:tcW w:type="dxa" w:w="3118"/>
            <w:vAlign w:val="center"/>
            <w:tcMar>
              <w:top w:w="85" w:type="dxa"/>
              <w:start w:w="100" w:type="dxa"/>
              <w:bottom w:w="85" w:type="dxa"/>
              <w:end w:w="100" w:type="dxa"/>
            </w:tcMar>
            <w:shd w:fill="F1F6F8"/>
            <w:tcBorders>
              <w:bottom w:val="single" w:sz="3" w:color="D9E3E8"/>
            </w:tcBorders>
          </w:tcPr>
          <w:p>
            <w:pPr>
              <w:pStyle w:val="TableText"/>
            </w:pPr>
            <w:r/>
            <w:r>
              <w:rPr>
                <w:sz w:val="15"/>
              </w:rPr>
              <w:t>Invalid / stale =&gt; No trade</w:t>
            </w:r>
          </w:p>
        </w:tc>
      </w:tr>
      <w:tr>
        <w:trPr>
          <w:cantSplit/>
        </w:trPr>
        <w:tc>
          <w:tcPr>
            <w:tcW w:type="dxa" w:w="1247"/>
            <w:vAlign w:val="center"/>
            <w:tcMar>
              <w:top w:w="85" w:type="dxa"/>
              <w:start w:w="100" w:type="dxa"/>
              <w:bottom w:w="85" w:type="dxa"/>
              <w:end w:w="100" w:type="dxa"/>
            </w:tcMar>
            <w:tcBorders>
              <w:bottom w:val="single" w:sz="3" w:color="D9E3E8"/>
            </w:tcBorders>
          </w:tcPr>
          <w:p>
            <w:pPr>
              <w:pStyle w:val="TableText"/>
            </w:pPr>
            <w:r/>
            <w:r>
              <w:rPr>
                <w:b/>
                <w:color w:val="12263B"/>
                <w:sz w:val="15"/>
              </w:rPr>
              <w:t>2  Signal gate</w:t>
            </w:r>
          </w:p>
        </w:tc>
        <w:tc>
          <w:tcPr>
            <w:tcW w:type="dxa" w:w="5159"/>
            <w:vAlign w:val="center"/>
            <w:tcMar>
              <w:top w:w="85" w:type="dxa"/>
              <w:start w:w="100" w:type="dxa"/>
              <w:bottom w:w="85" w:type="dxa"/>
              <w:end w:w="100" w:type="dxa"/>
            </w:tcMar>
            <w:tcBorders>
              <w:bottom w:val="single" w:sz="3" w:color="D9E3E8"/>
            </w:tcBorders>
          </w:tcPr>
          <w:p>
            <w:pPr>
              <w:pStyle w:val="TableText"/>
            </w:pPr>
            <w:r/>
            <w:r>
              <w:rPr>
                <w:sz w:val="15"/>
              </w:rPr>
              <w:t>Is model and baseline agreement sufficient for chosen policy?</w:t>
            </w:r>
          </w:p>
        </w:tc>
        <w:tc>
          <w:tcPr>
            <w:tcW w:type="dxa" w:w="3118"/>
            <w:vAlign w:val="center"/>
            <w:tcMar>
              <w:top w:w="85" w:type="dxa"/>
              <w:start w:w="100" w:type="dxa"/>
              <w:bottom w:w="85" w:type="dxa"/>
              <w:end w:w="100" w:type="dxa"/>
            </w:tcMar>
            <w:tcBorders>
              <w:bottom w:val="single" w:sz="3" w:color="D9E3E8"/>
            </w:tcBorders>
          </w:tcPr>
          <w:p>
            <w:pPr>
              <w:pStyle w:val="TableText"/>
            </w:pPr>
            <w:r/>
            <w:r>
              <w:rPr>
                <w:sz w:val="15"/>
              </w:rPr>
              <w:t>Weak evidence =&gt; No trade</w:t>
            </w:r>
          </w:p>
        </w:tc>
      </w:tr>
      <w:tr>
        <w:trPr>
          <w:cantSplit/>
        </w:trPr>
        <w:tc>
          <w:tcPr>
            <w:tcW w:type="dxa" w:w="1247"/>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3  Cost gate</w:t>
            </w:r>
          </w:p>
        </w:tc>
        <w:tc>
          <w:tcPr>
            <w:tcW w:type="dxa" w:w="5159"/>
            <w:vAlign w:val="center"/>
            <w:tcMar>
              <w:top w:w="85" w:type="dxa"/>
              <w:start w:w="100" w:type="dxa"/>
              <w:bottom w:w="85" w:type="dxa"/>
              <w:end w:w="100" w:type="dxa"/>
            </w:tcMar>
            <w:shd w:fill="F1F6F8"/>
            <w:tcBorders>
              <w:bottom w:val="single" w:sz="3" w:color="D9E3E8"/>
            </w:tcBorders>
          </w:tcPr>
          <w:p>
            <w:pPr>
              <w:pStyle w:val="TableText"/>
            </w:pPr>
            <w:r/>
            <w:r>
              <w:rPr>
                <w:sz w:val="15"/>
              </w:rPr>
              <w:t>Does expected edge exceed modeled fees, slippage and uncertainty buffer?</w:t>
            </w:r>
          </w:p>
        </w:tc>
        <w:tc>
          <w:tcPr>
            <w:tcW w:type="dxa" w:w="3118"/>
            <w:vAlign w:val="center"/>
            <w:tcMar>
              <w:top w:w="85" w:type="dxa"/>
              <w:start w:w="100" w:type="dxa"/>
              <w:bottom w:w="85" w:type="dxa"/>
              <w:end w:w="100" w:type="dxa"/>
            </w:tcMar>
            <w:shd w:fill="F1F6F8"/>
            <w:tcBorders>
              <w:bottom w:val="single" w:sz="3" w:color="D9E3E8"/>
            </w:tcBorders>
          </w:tcPr>
          <w:p>
            <w:pPr>
              <w:pStyle w:val="TableText"/>
            </w:pPr>
            <w:r/>
            <w:r>
              <w:rPr>
                <w:sz w:val="15"/>
              </w:rPr>
              <w:t>Insufficient edge =&gt; No trade</w:t>
            </w:r>
          </w:p>
        </w:tc>
      </w:tr>
      <w:tr>
        <w:trPr>
          <w:cantSplit/>
        </w:trPr>
        <w:tc>
          <w:tcPr>
            <w:tcW w:type="dxa" w:w="1247"/>
            <w:vAlign w:val="center"/>
            <w:tcMar>
              <w:top w:w="85" w:type="dxa"/>
              <w:start w:w="100" w:type="dxa"/>
              <w:bottom w:w="85" w:type="dxa"/>
              <w:end w:w="100" w:type="dxa"/>
            </w:tcMar>
            <w:tcBorders>
              <w:bottom w:val="single" w:sz="3" w:color="D9E3E8"/>
            </w:tcBorders>
          </w:tcPr>
          <w:p>
            <w:pPr>
              <w:pStyle w:val="TableText"/>
            </w:pPr>
            <w:r/>
            <w:r>
              <w:rPr>
                <w:b/>
                <w:color w:val="12263B"/>
                <w:sz w:val="15"/>
              </w:rPr>
              <w:t>4  Risk gate</w:t>
            </w:r>
          </w:p>
        </w:tc>
        <w:tc>
          <w:tcPr>
            <w:tcW w:type="dxa" w:w="5159"/>
            <w:vAlign w:val="center"/>
            <w:tcMar>
              <w:top w:w="85" w:type="dxa"/>
              <w:start w:w="100" w:type="dxa"/>
              <w:bottom w:w="85" w:type="dxa"/>
              <w:end w:w="100" w:type="dxa"/>
            </w:tcMar>
            <w:tcBorders>
              <w:bottom w:val="single" w:sz="3" w:color="D9E3E8"/>
            </w:tcBorders>
          </w:tcPr>
          <w:p>
            <w:pPr>
              <w:pStyle w:val="TableText"/>
            </w:pPr>
            <w:r/>
            <w:r>
              <w:rPr>
                <w:sz w:val="15"/>
              </w:rPr>
              <w:t>Will proposed position violate exposure, loss, drawdown or cooldown limits?</w:t>
            </w:r>
          </w:p>
        </w:tc>
        <w:tc>
          <w:tcPr>
            <w:tcW w:type="dxa" w:w="3118"/>
            <w:vAlign w:val="center"/>
            <w:tcMar>
              <w:top w:w="85" w:type="dxa"/>
              <w:start w:w="100" w:type="dxa"/>
              <w:bottom w:w="85" w:type="dxa"/>
              <w:end w:w="100" w:type="dxa"/>
            </w:tcMar>
            <w:tcBorders>
              <w:bottom w:val="single" w:sz="3" w:color="D9E3E8"/>
            </w:tcBorders>
          </w:tcPr>
          <w:p>
            <w:pPr>
              <w:pStyle w:val="TableText"/>
            </w:pPr>
            <w:r/>
            <w:r>
              <w:rPr>
                <w:sz w:val="15"/>
              </w:rPr>
              <w:t>Violation =&gt; No trade</w:t>
            </w:r>
          </w:p>
        </w:tc>
      </w:tr>
      <w:tr>
        <w:trPr>
          <w:cantSplit/>
        </w:trPr>
        <w:tc>
          <w:tcPr>
            <w:tcW w:type="dxa" w:w="1247"/>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5  Simulation</w:t>
            </w:r>
          </w:p>
        </w:tc>
        <w:tc>
          <w:tcPr>
            <w:tcW w:type="dxa" w:w="5159"/>
            <w:vAlign w:val="center"/>
            <w:tcMar>
              <w:top w:w="85" w:type="dxa"/>
              <w:start w:w="100" w:type="dxa"/>
              <w:bottom w:w="85" w:type="dxa"/>
              <w:end w:w="100" w:type="dxa"/>
            </w:tcMar>
            <w:shd w:fill="F1F6F8"/>
            <w:tcBorders>
              <w:bottom w:val="single" w:sz="3" w:color="D9E3E8"/>
            </w:tcBorders>
          </w:tcPr>
          <w:p>
            <w:pPr>
              <w:pStyle w:val="TableText"/>
            </w:pPr>
            <w:r/>
            <w:r>
              <w:rPr>
                <w:sz w:val="15"/>
              </w:rPr>
              <w:t>Eligible proposal receives simulated execution and portfolio updates.</w:t>
            </w:r>
          </w:p>
        </w:tc>
        <w:tc>
          <w:tcPr>
            <w:tcW w:type="dxa" w:w="3118"/>
            <w:vAlign w:val="center"/>
            <w:tcMar>
              <w:top w:w="85" w:type="dxa"/>
              <w:start w:w="100" w:type="dxa"/>
              <w:bottom w:w="85" w:type="dxa"/>
              <w:end w:w="100" w:type="dxa"/>
            </w:tcMar>
            <w:shd w:fill="F1F6F8"/>
            <w:tcBorders>
              <w:bottom w:val="single" w:sz="3" w:color="D9E3E8"/>
            </w:tcBorders>
          </w:tcPr>
          <w:p>
            <w:pPr>
              <w:pStyle w:val="TableText"/>
            </w:pPr>
            <w:r/>
            <w:r>
              <w:rPr>
                <w:sz w:val="15"/>
              </w:rPr>
              <w:t>Logged paper order / fill</w:t>
            </w:r>
          </w:p>
        </w:tc>
      </w:tr>
    </w:tbl>
    <w:p>
      <w:pPr>
        <w:spacing w:after="0"/>
      </w:pPr>
    </w:p>
    <w:p>
      <w:pPr>
        <w:pStyle w:val="SmallText"/>
      </w:pPr>
      <w:r>
        <w:t>Note: The precise decision thresholds and trading hours are configuration decisions, not assumed facts.</w:t>
      </w:r>
    </w:p>
    <w:p>
      <w:r>
        <w:br w:type="page"/>
      </w:r>
    </w:p>
    <w:p>
      <w:pPr>
        <w:pStyle w:val="Heading1"/>
      </w:pPr>
      <w:r>
        <w:t>04  Functional requirements - platform core</w:t>
      </w:r>
    </w:p>
    <w:p>
      <w:pPr>
        <w:pStyle w:val="SmallText"/>
      </w:pPr>
      <w:r>
        <w:t>Each requirement describes intended behavior. All items below are proposed, not verified as built.</w:t>
      </w:r>
    </w:p>
    <w:tbl>
      <w:tblPr>
        <w:tblW w:type="auto" w:w="0"/>
        <w:jc w:val="center"/>
        <w:tblLayout w:type="fixed"/>
        <w:tblLook w:firstColumn="1" w:firstRow="1" w:lastColumn="0" w:lastRow="0" w:noHBand="0" w:noVBand="1" w:val="04A0"/>
      </w:tblPr>
      <w:tblGrid>
        <w:gridCol w:w="879"/>
        <w:gridCol w:w="454"/>
        <w:gridCol w:w="4876"/>
        <w:gridCol w:w="3317"/>
      </w:tblGrid>
      <w:tr>
        <w:trPr>
          <w:tblHeader w:val="true"/>
          <w:cantSplit/>
        </w:trPr>
        <w:tc>
          <w:tcPr>
            <w:tcW w:type="dxa" w:w="2395"/>
            <w:vAlign w:val="center"/>
            <w:shd w:fill="142B42"/>
            <w:tcMar>
              <w:top w:w="95" w:type="dxa"/>
              <w:start w:w="90" w:type="dxa"/>
              <w:bottom w:w="95" w:type="dxa"/>
              <w:end w:w="90" w:type="dxa"/>
            </w:tcMar>
          </w:tcPr>
          <w:p>
            <w:pPr>
              <w:pStyle w:val="TableText"/>
            </w:pPr>
            <w:r>
              <w:rPr>
                <w:b/>
                <w:color w:val="FFFFFF"/>
                <w:sz w:val="15"/>
              </w:rPr>
              <w:t>ID</w:t>
            </w:r>
          </w:p>
        </w:tc>
        <w:tc>
          <w:tcPr>
            <w:tcW w:type="dxa" w:w="2395"/>
            <w:vAlign w:val="center"/>
            <w:shd w:fill="142B42"/>
            <w:tcMar>
              <w:top w:w="95" w:type="dxa"/>
              <w:start w:w="90" w:type="dxa"/>
              <w:bottom w:w="95" w:type="dxa"/>
              <w:end w:w="90" w:type="dxa"/>
            </w:tcMar>
          </w:tcPr>
          <w:p>
            <w:pPr>
              <w:pStyle w:val="TableText"/>
            </w:pPr>
            <w:r>
              <w:rPr>
                <w:b/>
                <w:color w:val="FFFFFF"/>
                <w:sz w:val="15"/>
              </w:rPr>
              <w:t>PR.</w:t>
            </w:r>
          </w:p>
        </w:tc>
        <w:tc>
          <w:tcPr>
            <w:tcW w:type="dxa" w:w="2395"/>
            <w:vAlign w:val="center"/>
            <w:shd w:fill="142B42"/>
            <w:tcMar>
              <w:top w:w="95" w:type="dxa"/>
              <w:start w:w="90" w:type="dxa"/>
              <w:bottom w:w="95" w:type="dxa"/>
              <w:end w:w="90" w:type="dxa"/>
            </w:tcMar>
          </w:tcPr>
          <w:p>
            <w:pPr>
              <w:pStyle w:val="TableText"/>
            </w:pPr>
            <w:r>
              <w:rPr>
                <w:b/>
                <w:color w:val="FFFFFF"/>
                <w:sz w:val="15"/>
              </w:rPr>
              <w:t>REQUIREMENT</w:t>
            </w:r>
          </w:p>
        </w:tc>
        <w:tc>
          <w:tcPr>
            <w:tcW w:type="dxa" w:w="2395"/>
            <w:vAlign w:val="center"/>
            <w:shd w:fill="142B42"/>
            <w:tcMar>
              <w:top w:w="95" w:type="dxa"/>
              <w:start w:w="90" w:type="dxa"/>
              <w:bottom w:w="95" w:type="dxa"/>
              <w:end w:w="90" w:type="dxa"/>
            </w:tcMar>
          </w:tcPr>
          <w:p>
            <w:pPr>
              <w:pStyle w:val="TableText"/>
            </w:pPr>
            <w:r>
              <w:rPr>
                <w:b/>
                <w:color w:val="FFFFFF"/>
                <w:sz w:val="15"/>
              </w:rPr>
              <w:t>ACCEPTANCE EVIDENCE</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FR-01</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Ingest time-stamped BTC OHLCV from a selected exchange/market with pagination, retry and rate limiting.</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Historical sample loads without duplicates; documented timestamp timezone.</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FR-02</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Validate bars for gaps, unexpected zeros, duplicates, non-monotonic timestamps and outliers.</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Injected bad records are flagged/quarantined and exposed in a quality report.</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FR-03</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Derive technical, momentum, volume and volatility features from an as-of cutoff.</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Feature contract and tests prove no future observations are used.</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FR-04</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Train and register at least one baseline directional / return forecasting model.</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Versioned model artifact, metrics, feature schema and dataset ID.</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FR-05</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Estimate market regime and recent volatility with defined fallback behavior.</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Recorded regime state; documented recalculation on rolling windows.</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FR-06</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Combine predictions, regime, costs and rules into Long / Short / No-trade candidate.</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Same versioned inputs reproduce decision plus reason codes.</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FR-07</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Reject candidate actions breaching configured risk or data-quality limits.</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Unit tests show all hard limits cannot be bypassed by a model.</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FR-08</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Run chronological, event-driven backtests using modeled execution costs.</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Ledger reconciles with net equity and trades across known test fixtures.</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FR-09</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Run rolling / walk-forward out-of-sample evaluations and baseline comparisons.</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Train, validation and test windows stored and non-overlapping.</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FR-10</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Operate exchange-free paper trading with fills, positions and P&amp;L tracking.</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State can be paused, replayed and reconciled to the paper ledger.</w:t>
            </w:r>
          </w:p>
        </w:tc>
      </w:tr>
    </w:tbl>
    <w:p>
      <w:pPr>
        <w:spacing w:after="0"/>
      </w:pPr>
    </w:p>
    <w:p>
      <w:pPr>
        <w:pStyle w:val="Heading2"/>
      </w:pPr>
      <w:r>
        <w:t>Prioritization key</w:t>
      </w:r>
    </w:p>
    <w:p>
      <w:r>
        <w:t>P0 = needed for a credible MVP; P1 = important enhancement after MVP; P2 = exploratory/advanced capability with an explicit validation gate.</w:t>
      </w:r>
    </w:p>
    <w:p>
      <w:r>
        <w:br w:type="page"/>
      </w:r>
    </w:p>
    <w:p>
      <w:pPr>
        <w:pStyle w:val="Heading1"/>
      </w:pPr>
      <w:r>
        <w:t>05  Functional requirements - intelligence &amp; experience</w:t>
      </w:r>
    </w:p>
    <w:tbl>
      <w:tblPr>
        <w:tblW w:type="auto" w:w="0"/>
        <w:jc w:val="center"/>
        <w:tblLayout w:type="fixed"/>
        <w:tblLook w:firstColumn="1" w:firstRow="1" w:lastColumn="0" w:lastRow="0" w:noHBand="0" w:noVBand="1" w:val="04A0"/>
      </w:tblPr>
      <w:tblGrid>
        <w:gridCol w:w="879"/>
        <w:gridCol w:w="454"/>
        <w:gridCol w:w="4876"/>
        <w:gridCol w:w="3317"/>
      </w:tblGrid>
      <w:tr>
        <w:trPr>
          <w:tblHeader w:val="true"/>
          <w:cantSplit/>
        </w:trPr>
        <w:tc>
          <w:tcPr>
            <w:tcW w:type="dxa" w:w="2395"/>
            <w:vAlign w:val="center"/>
            <w:shd w:fill="142B42"/>
            <w:tcMar>
              <w:top w:w="95" w:type="dxa"/>
              <w:start w:w="90" w:type="dxa"/>
              <w:bottom w:w="95" w:type="dxa"/>
              <w:end w:w="90" w:type="dxa"/>
            </w:tcMar>
          </w:tcPr>
          <w:p>
            <w:pPr>
              <w:pStyle w:val="TableText"/>
            </w:pPr>
            <w:r>
              <w:rPr>
                <w:b/>
                <w:color w:val="FFFFFF"/>
                <w:sz w:val="15"/>
              </w:rPr>
              <w:t>ID</w:t>
            </w:r>
          </w:p>
        </w:tc>
        <w:tc>
          <w:tcPr>
            <w:tcW w:type="dxa" w:w="2395"/>
            <w:vAlign w:val="center"/>
            <w:shd w:fill="142B42"/>
            <w:tcMar>
              <w:top w:w="95" w:type="dxa"/>
              <w:start w:w="90" w:type="dxa"/>
              <w:bottom w:w="95" w:type="dxa"/>
              <w:end w:w="90" w:type="dxa"/>
            </w:tcMar>
          </w:tcPr>
          <w:p>
            <w:pPr>
              <w:pStyle w:val="TableText"/>
            </w:pPr>
            <w:r>
              <w:rPr>
                <w:b/>
                <w:color w:val="FFFFFF"/>
                <w:sz w:val="15"/>
              </w:rPr>
              <w:t>PR.</w:t>
            </w:r>
          </w:p>
        </w:tc>
        <w:tc>
          <w:tcPr>
            <w:tcW w:type="dxa" w:w="2395"/>
            <w:vAlign w:val="center"/>
            <w:shd w:fill="142B42"/>
            <w:tcMar>
              <w:top w:w="95" w:type="dxa"/>
              <w:start w:w="90" w:type="dxa"/>
              <w:bottom w:w="95" w:type="dxa"/>
              <w:end w:w="90" w:type="dxa"/>
            </w:tcMar>
          </w:tcPr>
          <w:p>
            <w:pPr>
              <w:pStyle w:val="TableText"/>
            </w:pPr>
            <w:r>
              <w:rPr>
                <w:b/>
                <w:color w:val="FFFFFF"/>
                <w:sz w:val="15"/>
              </w:rPr>
              <w:t>REQUIREMENT</w:t>
            </w:r>
          </w:p>
        </w:tc>
        <w:tc>
          <w:tcPr>
            <w:tcW w:type="dxa" w:w="2395"/>
            <w:vAlign w:val="center"/>
            <w:shd w:fill="142B42"/>
            <w:tcMar>
              <w:top w:w="95" w:type="dxa"/>
              <w:start w:w="90" w:type="dxa"/>
              <w:bottom w:w="95" w:type="dxa"/>
              <w:end w:w="90" w:type="dxa"/>
            </w:tcMar>
          </w:tcPr>
          <w:p>
            <w:pPr>
              <w:pStyle w:val="TableText"/>
            </w:pPr>
            <w:r>
              <w:rPr>
                <w:b/>
                <w:color w:val="FFFFFF"/>
                <w:sz w:val="15"/>
              </w:rPr>
              <w:t>ACCEPTANCE EVIDENCE</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FR-11</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Provide dashboard views for BTC context, current signals, risk status, backtests and simulated portfolio.</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Operator can inspect latest action, reason, timestamp and portfolio state.</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FR-12</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P0</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Create append-only logs for data versions, prediction, rejection, simulation and parameter changes.</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One trace ID links prediction through risk decision to simulated fill.</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FR-13</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P1</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Ingest derivatives measures such as funding, open interest and liquidation indicators where licensed/available.</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Missing feeds produce a safe fallback and provenance is retained.</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FR-14</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P1</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Add macro/event calendar with publication time and pre-/post-event sensitivity rules.</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Historical event features use release/availability times, not revised future values.</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FR-15</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P1</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Score relevant news/sentiment with explainable source and time attribution.</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Signal clearly reports news source, ingestion time and relevance.</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FR-16</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P1</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Send configurable alerts for risk threshold, data staleness, new paper position and system error.</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Test events create deduplicated notifications.</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FR-17</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P1</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Export run artifacts, trades, metrics and configuration in machine-readable formats.</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CSV/JSON export re-creates summary metrics with documented fields.</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FR-18</w:t>
            </w:r>
          </w:p>
        </w:tc>
        <w:tc>
          <w:tcPr>
            <w:tcW w:type="dxa" w:w="454"/>
            <w:vAlign w:val="center"/>
            <w:tcMar>
              <w:top w:w="85" w:type="dxa"/>
              <w:start w:w="100" w:type="dxa"/>
              <w:bottom w:w="85" w:type="dxa"/>
              <w:end w:w="100" w:type="dxa"/>
            </w:tcMar>
            <w:tcBorders>
              <w:bottom w:val="single" w:sz="3" w:color="D9E3E8"/>
            </w:tcBorders>
          </w:tcPr>
          <w:p>
            <w:pPr>
              <w:pStyle w:val="TableText"/>
            </w:pPr>
            <w:r/>
            <w:r>
              <w:rPr>
                <w:sz w:val="15"/>
              </w:rPr>
              <w:t>P2</w:t>
            </w:r>
          </w:p>
        </w:tc>
        <w:tc>
          <w:tcPr>
            <w:tcW w:type="dxa" w:w="4876"/>
            <w:vAlign w:val="center"/>
            <w:tcMar>
              <w:top w:w="85" w:type="dxa"/>
              <w:start w:w="100" w:type="dxa"/>
              <w:bottom w:w="85" w:type="dxa"/>
              <w:end w:w="100" w:type="dxa"/>
            </w:tcMar>
            <w:tcBorders>
              <w:bottom w:val="single" w:sz="3" w:color="D9E3E8"/>
            </w:tcBorders>
          </w:tcPr>
          <w:p>
            <w:pPr>
              <w:pStyle w:val="TableText"/>
            </w:pPr>
            <w:r/>
            <w:r>
              <w:rPr>
                <w:sz w:val="15"/>
              </w:rPr>
              <w:t>Experiment with a PPO reinforcement-learning policy in a separate research environment.</w:t>
            </w:r>
          </w:p>
        </w:tc>
        <w:tc>
          <w:tcPr>
            <w:tcW w:type="dxa" w:w="3317"/>
            <w:vAlign w:val="center"/>
            <w:tcMar>
              <w:top w:w="85" w:type="dxa"/>
              <w:start w:w="100" w:type="dxa"/>
              <w:bottom w:w="85" w:type="dxa"/>
              <w:end w:w="100" w:type="dxa"/>
            </w:tcMar>
            <w:tcBorders>
              <w:bottom w:val="single" w:sz="3" w:color="D9E3E8"/>
            </w:tcBorders>
          </w:tcPr>
          <w:p>
            <w:pPr>
              <w:pStyle w:val="TableText"/>
            </w:pPr>
            <w:r/>
            <w:r>
              <w:rPr>
                <w:sz w:val="15"/>
              </w:rPr>
              <w:t>No production promotion without outperforming cost-aware baselines OOS.</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FR-19</w:t>
            </w:r>
          </w:p>
        </w:tc>
        <w:tc>
          <w:tcPr>
            <w:tcW w:type="dxa" w:w="454"/>
            <w:vAlign w:val="center"/>
            <w:tcMar>
              <w:top w:w="85" w:type="dxa"/>
              <w:start w:w="100" w:type="dxa"/>
              <w:bottom w:w="85" w:type="dxa"/>
              <w:end w:w="100" w:type="dxa"/>
            </w:tcMar>
            <w:shd w:fill="F1F6F8"/>
            <w:tcBorders>
              <w:bottom w:val="single" w:sz="3" w:color="D9E3E8"/>
            </w:tcBorders>
          </w:tcPr>
          <w:p>
            <w:pPr>
              <w:pStyle w:val="TableText"/>
            </w:pPr>
            <w:r/>
            <w:r>
              <w:rPr>
                <w:sz w:val="15"/>
              </w:rPr>
              <w:t>P2</w:t>
            </w:r>
          </w:p>
        </w:tc>
        <w:tc>
          <w:tcPr>
            <w:tcW w:type="dxa" w:w="4876"/>
            <w:vAlign w:val="center"/>
            <w:tcMar>
              <w:top w:w="85" w:type="dxa"/>
              <w:start w:w="100" w:type="dxa"/>
              <w:bottom w:w="85" w:type="dxa"/>
              <w:end w:w="100" w:type="dxa"/>
            </w:tcMar>
            <w:shd w:fill="F1F6F8"/>
            <w:tcBorders>
              <w:bottom w:val="single" w:sz="3" w:color="D9E3E8"/>
            </w:tcBorders>
          </w:tcPr>
          <w:p>
            <w:pPr>
              <w:pStyle w:val="TableText"/>
            </w:pPr>
            <w:r/>
            <w:r>
              <w:rPr>
                <w:sz w:val="15"/>
              </w:rPr>
              <w:t>Evaluate authenticated live execution via a separate security and compliance review.</w:t>
            </w:r>
          </w:p>
        </w:tc>
        <w:tc>
          <w:tcPr>
            <w:tcW w:type="dxa" w:w="3317"/>
            <w:vAlign w:val="center"/>
            <w:tcMar>
              <w:top w:w="85" w:type="dxa"/>
              <w:start w:w="100" w:type="dxa"/>
              <w:bottom w:w="85" w:type="dxa"/>
              <w:end w:w="100" w:type="dxa"/>
            </w:tcMar>
            <w:shd w:fill="F1F6F8"/>
            <w:tcBorders>
              <w:bottom w:val="single" w:sz="3" w:color="D9E3E8"/>
            </w:tcBorders>
          </w:tcPr>
          <w:p>
            <w:pPr>
              <w:pStyle w:val="TableText"/>
            </w:pPr>
            <w:r/>
            <w:r>
              <w:rPr>
                <w:sz w:val="15"/>
              </w:rPr>
              <w:t>Explicit sign-off and independent dry-run checklist; not included in MVP.</w:t>
            </w:r>
          </w:p>
        </w:tc>
      </w:tr>
    </w:tbl>
    <w:p>
      <w:pPr>
        <w:spacing w:after="0"/>
      </w:pPr>
    </w:p>
    <w:p>
      <w:pPr>
        <w:pStyle w:val="Heading2"/>
      </w:pPr>
      <w:r>
        <w:t>Dashboard modules - proposed</w:t>
      </w:r>
    </w:p>
    <w:tbl>
      <w:tblPr>
        <w:tblW w:type="auto" w:w="0"/>
        <w:jc w:val="center"/>
        <w:tblLayout w:type="fixed"/>
        <w:tblLook w:firstColumn="1" w:firstRow="1" w:lastColumn="0" w:lastRow="0" w:noHBand="0" w:noVBand="1" w:val="04A0"/>
      </w:tblPr>
      <w:tblGrid>
        <w:gridCol w:w="2494"/>
        <w:gridCol w:w="7030"/>
      </w:tblGrid>
      <w:tr>
        <w:trPr>
          <w:tblHeader w:val="true"/>
          <w:cantSplit/>
        </w:trPr>
        <w:tc>
          <w:tcPr>
            <w:tcW w:type="dxa" w:w="4791"/>
            <w:vAlign w:val="center"/>
            <w:shd w:fill="142B42"/>
            <w:tcMar>
              <w:top w:w="95" w:type="dxa"/>
              <w:start w:w="90" w:type="dxa"/>
              <w:bottom w:w="95" w:type="dxa"/>
              <w:end w:w="90" w:type="dxa"/>
            </w:tcMar>
          </w:tcPr>
          <w:p>
            <w:pPr>
              <w:pStyle w:val="TableText"/>
            </w:pPr>
            <w:r>
              <w:rPr>
                <w:b/>
                <w:color w:val="FFFFFF"/>
                <w:sz w:val="15"/>
              </w:rPr>
              <w:t>VIEW</w:t>
            </w:r>
          </w:p>
        </w:tc>
        <w:tc>
          <w:tcPr>
            <w:tcW w:type="dxa" w:w="4791"/>
            <w:vAlign w:val="center"/>
            <w:shd w:fill="142B42"/>
            <w:tcMar>
              <w:top w:w="95" w:type="dxa"/>
              <w:start w:w="90" w:type="dxa"/>
              <w:bottom w:w="95" w:type="dxa"/>
              <w:end w:w="90" w:type="dxa"/>
            </w:tcMar>
          </w:tcPr>
          <w:p>
            <w:pPr>
              <w:pStyle w:val="TableText"/>
            </w:pPr>
            <w:r>
              <w:rPr>
                <w:b/>
                <w:color w:val="FFFFFF"/>
                <w:sz w:val="15"/>
              </w:rPr>
              <w:t>MINIMUM CONTENT</w:t>
            </w:r>
          </w:p>
        </w:tc>
      </w:tr>
      <w:tr>
        <w:trPr>
          <w:cantSplit/>
        </w:trPr>
        <w:tc>
          <w:tcPr>
            <w:tcW w:type="dxa" w:w="2494"/>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Market overview</w:t>
            </w:r>
          </w:p>
        </w:tc>
        <w:tc>
          <w:tcPr>
            <w:tcW w:type="dxa" w:w="7030"/>
            <w:vAlign w:val="center"/>
            <w:tcMar>
              <w:top w:w="85" w:type="dxa"/>
              <w:start w:w="100" w:type="dxa"/>
              <w:bottom w:w="85" w:type="dxa"/>
              <w:end w:w="100" w:type="dxa"/>
            </w:tcMar>
            <w:shd w:fill="F1F6F8"/>
            <w:tcBorders>
              <w:bottom w:val="single" w:sz="3" w:color="D9E3E8"/>
            </w:tcBorders>
          </w:tcPr>
          <w:p>
            <w:pPr>
              <w:pStyle w:val="TableText"/>
            </w:pPr>
            <w:r/>
            <w:r>
              <w:rPr>
                <w:sz w:val="16"/>
              </w:rPr>
              <w:t>BTC candlestick chart, bar interval, volume, trend, volatility and data-freshness status.</w:t>
            </w:r>
          </w:p>
        </w:tc>
      </w:tr>
      <w:tr>
        <w:trPr>
          <w:cantSplit/>
        </w:trPr>
        <w:tc>
          <w:tcPr>
            <w:tcW w:type="dxa" w:w="2494"/>
            <w:vAlign w:val="center"/>
            <w:tcMar>
              <w:top w:w="85" w:type="dxa"/>
              <w:start w:w="100" w:type="dxa"/>
              <w:bottom w:w="85" w:type="dxa"/>
              <w:end w:w="100" w:type="dxa"/>
            </w:tcMar>
            <w:tcBorders>
              <w:bottom w:val="single" w:sz="3" w:color="D9E3E8"/>
            </w:tcBorders>
          </w:tcPr>
          <w:p>
            <w:pPr>
              <w:pStyle w:val="TableText"/>
            </w:pPr>
            <w:r/>
            <w:r>
              <w:rPr>
                <w:b/>
                <w:color w:val="12263B"/>
                <w:sz w:val="16"/>
              </w:rPr>
              <w:t>Forecasts &amp; regimes</w:t>
            </w:r>
          </w:p>
        </w:tc>
        <w:tc>
          <w:tcPr>
            <w:tcW w:type="dxa" w:w="7030"/>
            <w:vAlign w:val="center"/>
            <w:tcMar>
              <w:top w:w="85" w:type="dxa"/>
              <w:start w:w="100" w:type="dxa"/>
              <w:bottom w:w="85" w:type="dxa"/>
              <w:end w:w="100" w:type="dxa"/>
            </w:tcMar>
            <w:tcBorders>
              <w:bottom w:val="single" w:sz="3" w:color="D9E3E8"/>
            </w:tcBorders>
          </w:tcPr>
          <w:p>
            <w:pPr>
              <w:pStyle w:val="TableText"/>
            </w:pPr>
            <w:r/>
            <w:r>
              <w:rPr>
                <w:sz w:val="16"/>
              </w:rPr>
              <w:t>Prediction horizon, confidence/calibration, regime indicator, model version and timestamps.</w:t>
            </w:r>
          </w:p>
        </w:tc>
      </w:tr>
      <w:tr>
        <w:trPr>
          <w:cantSplit/>
        </w:trPr>
        <w:tc>
          <w:tcPr>
            <w:tcW w:type="dxa" w:w="2494"/>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Decision center</w:t>
            </w:r>
          </w:p>
        </w:tc>
        <w:tc>
          <w:tcPr>
            <w:tcW w:type="dxa" w:w="7030"/>
            <w:vAlign w:val="center"/>
            <w:tcMar>
              <w:top w:w="85" w:type="dxa"/>
              <w:start w:w="100" w:type="dxa"/>
              <w:bottom w:w="85" w:type="dxa"/>
              <w:end w:w="100" w:type="dxa"/>
            </w:tcMar>
            <w:shd w:fill="F1F6F8"/>
            <w:tcBorders>
              <w:bottom w:val="single" w:sz="3" w:color="D9E3E8"/>
            </w:tcBorders>
          </w:tcPr>
          <w:p>
            <w:pPr>
              <w:pStyle w:val="TableText"/>
            </w:pPr>
            <w:r/>
            <w:r>
              <w:rPr>
                <w:sz w:val="16"/>
              </w:rPr>
              <w:t>Action/No-trade, reason codes, threshold checks, proposed risk budget and blocked actions.</w:t>
            </w:r>
          </w:p>
        </w:tc>
      </w:tr>
      <w:tr>
        <w:trPr>
          <w:cantSplit/>
        </w:trPr>
        <w:tc>
          <w:tcPr>
            <w:tcW w:type="dxa" w:w="2494"/>
            <w:vAlign w:val="center"/>
            <w:tcMar>
              <w:top w:w="85" w:type="dxa"/>
              <w:start w:w="100" w:type="dxa"/>
              <w:bottom w:w="85" w:type="dxa"/>
              <w:end w:w="100" w:type="dxa"/>
            </w:tcMar>
            <w:tcBorders>
              <w:bottom w:val="single" w:sz="3" w:color="D9E3E8"/>
            </w:tcBorders>
          </w:tcPr>
          <w:p>
            <w:pPr>
              <w:pStyle w:val="TableText"/>
            </w:pPr>
            <w:r/>
            <w:r>
              <w:rPr>
                <w:b/>
                <w:color w:val="12263B"/>
                <w:sz w:val="16"/>
              </w:rPr>
              <w:t>Strategy lab</w:t>
            </w:r>
          </w:p>
        </w:tc>
        <w:tc>
          <w:tcPr>
            <w:tcW w:type="dxa" w:w="7030"/>
            <w:vAlign w:val="center"/>
            <w:tcMar>
              <w:top w:w="85" w:type="dxa"/>
              <w:start w:w="100" w:type="dxa"/>
              <w:bottom w:w="85" w:type="dxa"/>
              <w:end w:w="100" w:type="dxa"/>
            </w:tcMar>
            <w:tcBorders>
              <w:bottom w:val="single" w:sz="3" w:color="D9E3E8"/>
            </w:tcBorders>
          </w:tcPr>
          <w:p>
            <w:pPr>
              <w:pStyle w:val="TableText"/>
            </w:pPr>
            <w:r/>
            <w:r>
              <w:rPr>
                <w:sz w:val="16"/>
              </w:rPr>
              <w:t>Runs, benchmarks, equity curves, drawdown, trade table, walk-forward and scenario comparisons.</w:t>
            </w:r>
          </w:p>
        </w:tc>
      </w:tr>
      <w:tr>
        <w:trPr>
          <w:cantSplit/>
        </w:trPr>
        <w:tc>
          <w:tcPr>
            <w:tcW w:type="dxa" w:w="2494"/>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Paper portfolio</w:t>
            </w:r>
          </w:p>
        </w:tc>
        <w:tc>
          <w:tcPr>
            <w:tcW w:type="dxa" w:w="7030"/>
            <w:vAlign w:val="center"/>
            <w:tcMar>
              <w:top w:w="85" w:type="dxa"/>
              <w:start w:w="100" w:type="dxa"/>
              <w:bottom w:w="85" w:type="dxa"/>
              <w:end w:w="100" w:type="dxa"/>
            </w:tcMar>
            <w:shd w:fill="F1F6F8"/>
            <w:tcBorders>
              <w:bottom w:val="single" w:sz="3" w:color="D9E3E8"/>
            </w:tcBorders>
          </w:tcPr>
          <w:p>
            <w:pPr>
              <w:pStyle w:val="TableText"/>
            </w:pPr>
            <w:r/>
            <w:r>
              <w:rPr>
                <w:sz w:val="16"/>
              </w:rPr>
              <w:t>Virtual balance, open positions, net/gross P&amp;L, historical fills, risk dashboard and kill switch.</w:t>
            </w:r>
          </w:p>
        </w:tc>
      </w:tr>
      <w:tr>
        <w:trPr>
          <w:cantSplit/>
        </w:trPr>
        <w:tc>
          <w:tcPr>
            <w:tcW w:type="dxa" w:w="2494"/>
            <w:vAlign w:val="center"/>
            <w:tcMar>
              <w:top w:w="85" w:type="dxa"/>
              <w:start w:w="100" w:type="dxa"/>
              <w:bottom w:w="85" w:type="dxa"/>
              <w:end w:w="100" w:type="dxa"/>
            </w:tcMar>
            <w:tcBorders>
              <w:bottom w:val="single" w:sz="3" w:color="D9E3E8"/>
            </w:tcBorders>
          </w:tcPr>
          <w:p>
            <w:pPr>
              <w:pStyle w:val="TableText"/>
            </w:pPr>
            <w:r/>
            <w:r>
              <w:rPr>
                <w:b/>
                <w:color w:val="12263B"/>
                <w:sz w:val="16"/>
              </w:rPr>
              <w:t>Event radar</w:t>
            </w:r>
          </w:p>
        </w:tc>
        <w:tc>
          <w:tcPr>
            <w:tcW w:type="dxa" w:w="7030"/>
            <w:vAlign w:val="center"/>
            <w:tcMar>
              <w:top w:w="85" w:type="dxa"/>
              <w:start w:w="100" w:type="dxa"/>
              <w:bottom w:w="85" w:type="dxa"/>
              <w:end w:w="100" w:type="dxa"/>
            </w:tcMar>
            <w:tcBorders>
              <w:bottom w:val="single" w:sz="3" w:color="D9E3E8"/>
            </w:tcBorders>
          </w:tcPr>
          <w:p>
            <w:pPr>
              <w:pStyle w:val="TableText"/>
            </w:pPr>
            <w:r/>
            <w:r>
              <w:rPr>
                <w:sz w:val="16"/>
              </w:rPr>
              <w:t>Upcoming macro events, major BTC-related news and derivatives anomalies (P1).</w:t>
            </w:r>
          </w:p>
        </w:tc>
      </w:tr>
    </w:tbl>
    <w:p>
      <w:pPr>
        <w:spacing w:after="0"/>
      </w:pPr>
    </w:p>
    <w:p>
      <w:r>
        <w:br w:type="page"/>
      </w:r>
    </w:p>
    <w:p>
      <w:pPr>
        <w:pStyle w:val="Heading1"/>
      </w:pPr>
      <w:r>
        <w:t>06  Logical architecture &amp; data contracts</w:t>
      </w:r>
    </w:p>
    <w:p>
      <w:pPr>
        <w:pStyle w:val="Heading2"/>
      </w:pPr>
      <w:r>
        <w:t>Target system flow</w:t>
      </w:r>
    </w:p>
    <w:tbl>
      <w:tblPr>
        <w:tblW w:type="auto" w:w="0"/>
        <w:tblLayout w:type="fixed"/>
        <w:tblLook w:firstColumn="1" w:firstRow="1" w:lastColumn="0" w:lastRow="0" w:noHBand="0" w:noVBand="1" w:val="04A0"/>
      </w:tblPr>
      <w:tblGrid>
        <w:gridCol w:w="9524"/>
      </w:tblGrid>
      <w:tr>
        <w:tc>
          <w:tcPr>
            <w:tcW w:type="dxa" w:w="9582"/>
            <w:shd w:fill="EDF5F6"/>
            <w:tcMar>
              <w:top w:w="95" w:type="dxa"/>
              <w:start w:w="125" w:type="dxa"/>
              <w:bottom w:w="95" w:type="dxa"/>
              <w:end w:w="125" w:type="dxa"/>
            </w:tcMar>
          </w:tcPr>
          <w:p>
            <w:pPr>
              <w:pStyle w:val="TableText"/>
            </w:pPr>
            <w:r>
              <w:rPr>
                <w:b/>
                <w:i w:val="0"/>
                <w:color w:val="0A8995"/>
                <w:sz w:val="16"/>
              </w:rPr>
              <w:t>01  SOURCE CONNECTORS</w:t>
            </w:r>
            <w:r>
              <w:rPr>
                <w:b w:val="0"/>
                <w:i w:val="0"/>
                <w:color w:val="202E3D"/>
                <w:sz w:val="16"/>
              </w:rPr>
              <w:t xml:space="preserve">    BTC market bars/trades; optional funding, OI, liquidations, news and macro events</w:t>
            </w:r>
          </w:p>
        </w:tc>
      </w:tr>
    </w:tbl>
    <w:p>
      <w:pPr>
        <w:spacing w:after="20"/>
        <w:jc w:val="center"/>
      </w:pPr>
      <w:r>
        <w:rPr>
          <w:b/>
          <w:i w:val="0"/>
          <w:color w:val="0A8995"/>
          <w:sz w:val="18"/>
        </w:rPr>
        <w:t>↓</w:t>
      </w:r>
    </w:p>
    <w:tbl>
      <w:tblPr>
        <w:tblW w:type="auto" w:w="0"/>
        <w:tblLayout w:type="fixed"/>
        <w:tblLook w:firstColumn="1" w:firstRow="1" w:lastColumn="0" w:lastRow="0" w:noHBand="0" w:noVBand="1" w:val="04A0"/>
      </w:tblPr>
      <w:tblGrid>
        <w:gridCol w:w="9524"/>
      </w:tblGrid>
      <w:tr>
        <w:tc>
          <w:tcPr>
            <w:tcW w:type="dxa" w:w="9582"/>
            <w:shd w:fill="EDF5F6"/>
            <w:tcMar>
              <w:top w:w="95" w:type="dxa"/>
              <w:start w:w="125" w:type="dxa"/>
              <w:bottom w:w="95" w:type="dxa"/>
              <w:end w:w="125" w:type="dxa"/>
            </w:tcMar>
          </w:tcPr>
          <w:p>
            <w:pPr>
              <w:pStyle w:val="TableText"/>
            </w:pPr>
            <w:r>
              <w:rPr>
                <w:b/>
                <w:i w:val="0"/>
                <w:color w:val="0A8995"/>
                <w:sz w:val="16"/>
              </w:rPr>
              <w:t>02  INGESTION + QUALITY</w:t>
            </w:r>
            <w:r>
              <w:rPr>
                <w:b w:val="0"/>
                <w:i w:val="0"/>
                <w:color w:val="202E3D"/>
                <w:sz w:val="16"/>
              </w:rPr>
              <w:t xml:space="preserve">    Timestamp normalization, deduplication, gap detection, retries, provenance</w:t>
            </w:r>
          </w:p>
        </w:tc>
      </w:tr>
    </w:tbl>
    <w:p>
      <w:pPr>
        <w:spacing w:after="20"/>
        <w:jc w:val="center"/>
      </w:pPr>
      <w:r>
        <w:rPr>
          <w:b/>
          <w:i w:val="0"/>
          <w:color w:val="0A8995"/>
          <w:sz w:val="18"/>
        </w:rPr>
        <w:t>↓</w:t>
      </w:r>
    </w:p>
    <w:tbl>
      <w:tblPr>
        <w:tblW w:type="auto" w:w="0"/>
        <w:tblLayout w:type="fixed"/>
        <w:tblLook w:firstColumn="1" w:firstRow="1" w:lastColumn="0" w:lastRow="0" w:noHBand="0" w:noVBand="1" w:val="04A0"/>
      </w:tblPr>
      <w:tblGrid>
        <w:gridCol w:w="9524"/>
      </w:tblGrid>
      <w:tr>
        <w:tc>
          <w:tcPr>
            <w:tcW w:type="dxa" w:w="9582"/>
            <w:shd w:fill="EDF5F6"/>
            <w:tcMar>
              <w:top w:w="95" w:type="dxa"/>
              <w:start w:w="125" w:type="dxa"/>
              <w:bottom w:w="95" w:type="dxa"/>
              <w:end w:w="125" w:type="dxa"/>
            </w:tcMar>
          </w:tcPr>
          <w:p>
            <w:pPr>
              <w:pStyle w:val="TableText"/>
            </w:pPr>
            <w:r>
              <w:rPr>
                <w:b/>
                <w:i w:val="0"/>
                <w:color w:val="0A8995"/>
                <w:sz w:val="16"/>
              </w:rPr>
              <w:t>03  STORAGE + FEATURE SERVICE</w:t>
            </w:r>
            <w:r>
              <w:rPr>
                <w:b w:val="0"/>
                <w:i w:val="0"/>
                <w:color w:val="202E3D"/>
                <w:sz w:val="16"/>
              </w:rPr>
              <w:t xml:space="preserve">    Raw snapshots, curated datasets, rolling features and experiment versions</w:t>
            </w:r>
          </w:p>
        </w:tc>
      </w:tr>
    </w:tbl>
    <w:p>
      <w:pPr>
        <w:spacing w:after="20"/>
        <w:jc w:val="center"/>
      </w:pPr>
      <w:r>
        <w:rPr>
          <w:b/>
          <w:i w:val="0"/>
          <w:color w:val="0A8995"/>
          <w:sz w:val="18"/>
        </w:rPr>
        <w:t>↓</w:t>
      </w:r>
    </w:p>
    <w:tbl>
      <w:tblPr>
        <w:tblW w:type="auto" w:w="0"/>
        <w:tblLayout w:type="fixed"/>
        <w:tblLook w:firstColumn="1" w:firstRow="1" w:lastColumn="0" w:lastRow="0" w:noHBand="0" w:noVBand="1" w:val="04A0"/>
      </w:tblPr>
      <w:tblGrid>
        <w:gridCol w:w="9524"/>
      </w:tblGrid>
      <w:tr>
        <w:tc>
          <w:tcPr>
            <w:tcW w:type="dxa" w:w="9582"/>
            <w:shd w:fill="EDF5F6"/>
            <w:tcMar>
              <w:top w:w="95" w:type="dxa"/>
              <w:start w:w="125" w:type="dxa"/>
              <w:bottom w:w="95" w:type="dxa"/>
              <w:end w:w="125" w:type="dxa"/>
            </w:tcMar>
          </w:tcPr>
          <w:p>
            <w:pPr>
              <w:pStyle w:val="TableText"/>
            </w:pPr>
            <w:r>
              <w:rPr>
                <w:b/>
                <w:i w:val="0"/>
                <w:color w:val="0A8995"/>
                <w:sz w:val="16"/>
              </w:rPr>
              <w:t>04  MODEL + REGIME SERVICES</w:t>
            </w:r>
            <w:r>
              <w:rPr>
                <w:b w:val="0"/>
                <w:i w:val="0"/>
                <w:color w:val="202E3D"/>
                <w:sz w:val="16"/>
              </w:rPr>
              <w:t xml:space="preserve">    Baseline forecasts, calibration, volatility and regime estimates</w:t>
            </w:r>
          </w:p>
        </w:tc>
      </w:tr>
    </w:tbl>
    <w:p>
      <w:pPr>
        <w:spacing w:after="20"/>
        <w:jc w:val="center"/>
      </w:pPr>
      <w:r>
        <w:rPr>
          <w:b/>
          <w:i w:val="0"/>
          <w:color w:val="0A8995"/>
          <w:sz w:val="18"/>
        </w:rPr>
        <w:t>↓</w:t>
      </w:r>
    </w:p>
    <w:tbl>
      <w:tblPr>
        <w:tblW w:type="auto" w:w="0"/>
        <w:tblLayout w:type="fixed"/>
        <w:tblLook w:firstColumn="1" w:firstRow="1" w:lastColumn="0" w:lastRow="0" w:noHBand="0" w:noVBand="1" w:val="04A0"/>
      </w:tblPr>
      <w:tblGrid>
        <w:gridCol w:w="9524"/>
      </w:tblGrid>
      <w:tr>
        <w:tc>
          <w:tcPr>
            <w:tcW w:type="dxa" w:w="9582"/>
            <w:shd w:fill="EDF5F6"/>
            <w:tcMar>
              <w:top w:w="95" w:type="dxa"/>
              <w:start w:w="125" w:type="dxa"/>
              <w:bottom w:w="95" w:type="dxa"/>
              <w:end w:w="125" w:type="dxa"/>
            </w:tcMar>
          </w:tcPr>
          <w:p>
            <w:pPr>
              <w:pStyle w:val="TableText"/>
            </w:pPr>
            <w:r>
              <w:rPr>
                <w:b/>
                <w:i w:val="0"/>
                <w:color w:val="0A8995"/>
                <w:sz w:val="16"/>
              </w:rPr>
              <w:t>05  POLICY + HARD RISK GATES</w:t>
            </w:r>
            <w:r>
              <w:rPr>
                <w:b w:val="0"/>
                <w:i w:val="0"/>
                <w:color w:val="202E3D"/>
                <w:sz w:val="16"/>
              </w:rPr>
              <w:t xml:space="preserve">    Long / Short / No trade, costs, circuit breakers and approved risk budget</w:t>
            </w:r>
          </w:p>
        </w:tc>
      </w:tr>
    </w:tbl>
    <w:p>
      <w:pPr>
        <w:spacing w:after="20"/>
        <w:jc w:val="center"/>
      </w:pPr>
      <w:r>
        <w:rPr>
          <w:b/>
          <w:i w:val="0"/>
          <w:color w:val="0A8995"/>
          <w:sz w:val="18"/>
        </w:rPr>
        <w:t>↓</w:t>
      </w:r>
    </w:p>
    <w:tbl>
      <w:tblPr>
        <w:tblW w:type="auto" w:w="0"/>
        <w:tblLayout w:type="fixed"/>
        <w:tblLook w:firstColumn="1" w:firstRow="1" w:lastColumn="0" w:lastRow="0" w:noHBand="0" w:noVBand="1" w:val="04A0"/>
      </w:tblPr>
      <w:tblGrid>
        <w:gridCol w:w="9524"/>
      </w:tblGrid>
      <w:tr>
        <w:tc>
          <w:tcPr>
            <w:tcW w:type="dxa" w:w="9582"/>
            <w:shd w:fill="EDF5F6"/>
            <w:tcMar>
              <w:top w:w="95" w:type="dxa"/>
              <w:start w:w="125" w:type="dxa"/>
              <w:bottom w:w="95" w:type="dxa"/>
              <w:end w:w="125" w:type="dxa"/>
            </w:tcMar>
          </w:tcPr>
          <w:p>
            <w:pPr>
              <w:pStyle w:val="TableText"/>
            </w:pPr>
            <w:r>
              <w:rPr>
                <w:b/>
                <w:i w:val="0"/>
                <w:color w:val="0A8995"/>
                <w:sz w:val="16"/>
              </w:rPr>
              <w:t>06  BACKTEST + PAPER ENGINE</w:t>
            </w:r>
            <w:r>
              <w:rPr>
                <w:b w:val="0"/>
                <w:i w:val="0"/>
                <w:color w:val="202E3D"/>
                <w:sz w:val="16"/>
              </w:rPr>
              <w:t xml:space="preserve">    Chronological execution simulator, fills, P&amp;L, funding and ledger</w:t>
            </w:r>
          </w:p>
        </w:tc>
      </w:tr>
    </w:tbl>
    <w:p>
      <w:pPr>
        <w:spacing w:after="20"/>
        <w:jc w:val="center"/>
      </w:pPr>
      <w:r>
        <w:rPr>
          <w:b/>
          <w:i w:val="0"/>
          <w:color w:val="0A8995"/>
          <w:sz w:val="18"/>
        </w:rPr>
        <w:t>↓</w:t>
      </w:r>
    </w:p>
    <w:tbl>
      <w:tblPr>
        <w:tblW w:type="auto" w:w="0"/>
        <w:tblLayout w:type="fixed"/>
        <w:tblLook w:firstColumn="1" w:firstRow="1" w:lastColumn="0" w:lastRow="0" w:noHBand="0" w:noVBand="1" w:val="04A0"/>
      </w:tblPr>
      <w:tblGrid>
        <w:gridCol w:w="9524"/>
      </w:tblGrid>
      <w:tr>
        <w:tc>
          <w:tcPr>
            <w:tcW w:type="dxa" w:w="9582"/>
            <w:shd w:fill="EDF5F6"/>
            <w:tcMar>
              <w:top w:w="95" w:type="dxa"/>
              <w:start w:w="125" w:type="dxa"/>
              <w:bottom w:w="95" w:type="dxa"/>
              <w:end w:w="125" w:type="dxa"/>
            </w:tcMar>
          </w:tcPr>
          <w:p>
            <w:pPr>
              <w:pStyle w:val="TableText"/>
            </w:pPr>
            <w:r>
              <w:rPr>
                <w:b/>
                <w:i w:val="0"/>
                <w:color w:val="0A8995"/>
                <w:sz w:val="16"/>
              </w:rPr>
              <w:t>07  FASTAPI + DASHBOARD</w:t>
            </w:r>
            <w:r>
              <w:rPr>
                <w:b w:val="0"/>
                <w:i w:val="0"/>
                <w:color w:val="202E3D"/>
                <w:sz w:val="16"/>
              </w:rPr>
              <w:t xml:space="preserve">    Signals, explanations, events, health, charts, reports and operator controls</w:t>
            </w:r>
          </w:p>
        </w:tc>
      </w:tr>
    </w:tbl>
    <w:p>
      <w:pPr>
        <w:spacing w:after="20"/>
        <w:jc w:val="center"/>
      </w:pPr>
      <w:r>
        <w:rPr>
          <w:b/>
          <w:i w:val="0"/>
          <w:color w:val="0A8995"/>
          <w:sz w:val="18"/>
        </w:rPr>
        <w:t>↓</w:t>
      </w:r>
    </w:p>
    <w:p>
      <w:pPr>
        <w:pStyle w:val="Heading2"/>
      </w:pPr>
      <w:r>
        <w:t>Candidate implementation stack</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791"/>
            <w:vAlign w:val="center"/>
            <w:shd w:fill="142B42"/>
            <w:tcMar>
              <w:top w:w="95" w:type="dxa"/>
              <w:start w:w="90" w:type="dxa"/>
              <w:bottom w:w="95" w:type="dxa"/>
              <w:end w:w="90" w:type="dxa"/>
            </w:tcMar>
          </w:tcPr>
          <w:p>
            <w:pPr>
              <w:pStyle w:val="TableText"/>
            </w:pPr>
            <w:r>
              <w:rPr>
                <w:b/>
                <w:color w:val="FFFFFF"/>
                <w:sz w:val="15"/>
              </w:rPr>
              <w:t>LAYER</w:t>
            </w:r>
          </w:p>
        </w:tc>
        <w:tc>
          <w:tcPr>
            <w:tcW w:type="dxa" w:w="4791"/>
            <w:vAlign w:val="center"/>
            <w:shd w:fill="142B42"/>
            <w:tcMar>
              <w:top w:w="95" w:type="dxa"/>
              <w:start w:w="90" w:type="dxa"/>
              <w:bottom w:w="95" w:type="dxa"/>
              <w:end w:w="90" w:type="dxa"/>
            </w:tcMar>
          </w:tcPr>
          <w:p>
            <w:pPr>
              <w:pStyle w:val="TableText"/>
            </w:pPr>
            <w:r>
              <w:rPr>
                <w:b/>
                <w:color w:val="FFFFFF"/>
                <w:sz w:val="15"/>
              </w:rPr>
              <w:t>PREFERRED DIRECTION (NOT YET APPROVED)</w:t>
            </w:r>
          </w:p>
        </w:tc>
      </w:tr>
      <w:tr>
        <w:trPr>
          <w:cantSplit/>
        </w:trPr>
        <w:tc>
          <w:tcPr>
            <w:tcW w:type="dxa" w:w="2268"/>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Core services</w:t>
            </w:r>
          </w:p>
        </w:tc>
        <w:tc>
          <w:tcPr>
            <w:tcW w:type="dxa" w:w="7257"/>
            <w:vAlign w:val="center"/>
            <w:tcMar>
              <w:top w:w="85" w:type="dxa"/>
              <w:start w:w="100" w:type="dxa"/>
              <w:bottom w:w="85" w:type="dxa"/>
              <w:end w:w="100" w:type="dxa"/>
            </w:tcMar>
            <w:shd w:fill="F1F6F8"/>
            <w:tcBorders>
              <w:bottom w:val="single" w:sz="3" w:color="D9E3E8"/>
            </w:tcBorders>
          </w:tcPr>
          <w:p>
            <w:pPr>
              <w:pStyle w:val="TableText"/>
            </w:pPr>
            <w:r/>
            <w:r>
              <w:rPr>
                <w:sz w:val="15"/>
              </w:rPr>
              <w:t>Python; FastAPI REST/WebSocket service; background data jobs; pydantic schemas.</w:t>
            </w:r>
          </w:p>
        </w:tc>
      </w:tr>
      <w:tr>
        <w:trPr>
          <w:cantSplit/>
        </w:trPr>
        <w:tc>
          <w:tcPr>
            <w:tcW w:type="dxa" w:w="2268"/>
            <w:vAlign w:val="center"/>
            <w:tcMar>
              <w:top w:w="85" w:type="dxa"/>
              <w:start w:w="100" w:type="dxa"/>
              <w:bottom w:w="85" w:type="dxa"/>
              <w:end w:w="100" w:type="dxa"/>
            </w:tcMar>
            <w:tcBorders>
              <w:bottom w:val="single" w:sz="3" w:color="D9E3E8"/>
            </w:tcBorders>
          </w:tcPr>
          <w:p>
            <w:pPr>
              <w:pStyle w:val="TableText"/>
            </w:pPr>
            <w:r/>
            <w:r>
              <w:rPr>
                <w:b/>
                <w:color w:val="12263B"/>
                <w:sz w:val="15"/>
              </w:rPr>
              <w:t>Research / models</w:t>
            </w:r>
          </w:p>
        </w:tc>
        <w:tc>
          <w:tcPr>
            <w:tcW w:type="dxa" w:w="7257"/>
            <w:vAlign w:val="center"/>
            <w:tcMar>
              <w:top w:w="85" w:type="dxa"/>
              <w:start w:w="100" w:type="dxa"/>
              <w:bottom w:w="85" w:type="dxa"/>
              <w:end w:w="100" w:type="dxa"/>
            </w:tcMar>
            <w:tcBorders>
              <w:bottom w:val="single" w:sz="3" w:color="D9E3E8"/>
            </w:tcBorders>
          </w:tcPr>
          <w:p>
            <w:pPr>
              <w:pStyle w:val="TableText"/>
            </w:pPr>
            <w:r/>
            <w:r>
              <w:rPr>
                <w:sz w:val="15"/>
              </w:rPr>
              <w:t>Pandas/Polars, scikit-learn, XGBoost or LightGBM, statsmodels/arch; PyTorch optional.</w:t>
            </w:r>
          </w:p>
        </w:tc>
      </w:tr>
      <w:tr>
        <w:trPr>
          <w:cantSplit/>
        </w:trPr>
        <w:tc>
          <w:tcPr>
            <w:tcW w:type="dxa" w:w="2268"/>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RL research (P2)</w:t>
            </w:r>
          </w:p>
        </w:tc>
        <w:tc>
          <w:tcPr>
            <w:tcW w:type="dxa" w:w="7257"/>
            <w:vAlign w:val="center"/>
            <w:tcMar>
              <w:top w:w="85" w:type="dxa"/>
              <w:start w:w="100" w:type="dxa"/>
              <w:bottom w:w="85" w:type="dxa"/>
              <w:end w:w="100" w:type="dxa"/>
            </w:tcMar>
            <w:shd w:fill="F1F6F8"/>
            <w:tcBorders>
              <w:bottom w:val="single" w:sz="3" w:color="D9E3E8"/>
            </w:tcBorders>
          </w:tcPr>
          <w:p>
            <w:pPr>
              <w:pStyle w:val="TableText"/>
            </w:pPr>
            <w:r/>
            <w:r>
              <w:rPr>
                <w:sz w:val="15"/>
              </w:rPr>
              <w:t>Gymnasium environment and Stable-Baselines3 PPO; strictly isolated experiments.</w:t>
            </w:r>
          </w:p>
        </w:tc>
      </w:tr>
      <w:tr>
        <w:trPr>
          <w:cantSplit/>
        </w:trPr>
        <w:tc>
          <w:tcPr>
            <w:tcW w:type="dxa" w:w="2268"/>
            <w:vAlign w:val="center"/>
            <w:tcMar>
              <w:top w:w="85" w:type="dxa"/>
              <w:start w:w="100" w:type="dxa"/>
              <w:bottom w:w="85" w:type="dxa"/>
              <w:end w:w="100" w:type="dxa"/>
            </w:tcMar>
            <w:tcBorders>
              <w:bottom w:val="single" w:sz="3" w:color="D9E3E8"/>
            </w:tcBorders>
          </w:tcPr>
          <w:p>
            <w:pPr>
              <w:pStyle w:val="TableText"/>
            </w:pPr>
            <w:r/>
            <w:r>
              <w:rPr>
                <w:b/>
                <w:color w:val="12263B"/>
                <w:sz w:val="15"/>
              </w:rPr>
              <w:t>Persistence</w:t>
            </w:r>
          </w:p>
        </w:tc>
        <w:tc>
          <w:tcPr>
            <w:tcW w:type="dxa" w:w="7257"/>
            <w:vAlign w:val="center"/>
            <w:tcMar>
              <w:top w:w="85" w:type="dxa"/>
              <w:start w:w="100" w:type="dxa"/>
              <w:bottom w:w="85" w:type="dxa"/>
              <w:end w:w="100" w:type="dxa"/>
            </w:tcMar>
            <w:tcBorders>
              <w:bottom w:val="single" w:sz="3" w:color="D9E3E8"/>
            </w:tcBorders>
          </w:tcPr>
          <w:p>
            <w:pPr>
              <w:pStyle w:val="TableText"/>
            </w:pPr>
            <w:r/>
            <w:r>
              <w:rPr>
                <w:sz w:val="15"/>
              </w:rPr>
              <w:t>Parquet + local relational database for MVP; object storage/managed database later if necessary.</w:t>
            </w:r>
          </w:p>
        </w:tc>
      </w:tr>
      <w:tr>
        <w:trPr>
          <w:cantSplit/>
        </w:trPr>
        <w:tc>
          <w:tcPr>
            <w:tcW w:type="dxa" w:w="2268"/>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Interface / deployment</w:t>
            </w:r>
          </w:p>
        </w:tc>
        <w:tc>
          <w:tcPr>
            <w:tcW w:type="dxa" w:w="7257"/>
            <w:vAlign w:val="center"/>
            <w:tcMar>
              <w:top w:w="85" w:type="dxa"/>
              <w:start w:w="100" w:type="dxa"/>
              <w:bottom w:w="85" w:type="dxa"/>
              <w:end w:w="100" w:type="dxa"/>
            </w:tcMar>
            <w:shd w:fill="F1F6F8"/>
            <w:tcBorders>
              <w:bottom w:val="single" w:sz="3" w:color="D9E3E8"/>
            </w:tcBorders>
          </w:tcPr>
          <w:p>
            <w:pPr>
              <w:pStyle w:val="TableText"/>
            </w:pPr>
            <w:r/>
            <w:r>
              <w:rPr>
                <w:sz w:val="15"/>
              </w:rPr>
              <w:t>Web dashboard, containerized services (Docker), local CPU-first setup.</w:t>
            </w:r>
          </w:p>
        </w:tc>
      </w:tr>
    </w:tbl>
    <w:p>
      <w:pPr>
        <w:spacing w:after="0"/>
      </w:pPr>
    </w:p>
    <w:p>
      <w:pPr>
        <w:pStyle w:val="Heading2"/>
      </w:pPr>
      <w:r>
        <w:t>Required data contract fields</w:t>
      </w:r>
    </w:p>
    <w:p>
      <w:r>
        <w:t>Each record should carry instrument, venue, event time (UTC), received/available time (UTC), interval, source, schema version and data-quality status. Each signal must additionally carry strategy ID, feature-cutoff time, model version, confidence, proposed action and risk-decision code.</w:t>
      </w:r>
    </w:p>
    <w:p>
      <w:r>
        <w:br w:type="page"/>
      </w:r>
    </w:p>
    <w:p>
      <w:pPr>
        <w:pStyle w:val="Heading1"/>
      </w:pPr>
      <w:r>
        <w:t>07  Modeling &amp; evaluation specification</w:t>
      </w:r>
    </w:p>
    <w:p>
      <w:pPr>
        <w:pStyle w:val="Heading2"/>
      </w:pPr>
      <w:r>
        <w:t>Forecasting layer - baseline first (P0)</w:t>
      </w:r>
    </w:p>
    <w:p>
      <w:r>
        <w:rPr>
          <w:b/>
          <w:i w:val="0"/>
          <w:color w:val="12263B"/>
        </w:rPr>
        <w:t xml:space="preserve">Targets.  </w:t>
      </w:r>
      <w:r>
        <w:rPr>
          <w:b w:val="0"/>
          <w:i w:val="0"/>
        </w:rPr>
        <w:t>Choose one or more fixed future horizons (example candidates: 15, 30 and 60 minutes) and define targets as forward log return, direction and/or a volatility-adjusted label. Horizons are illustrative, not final requirements.</w:t>
      </w:r>
    </w:p>
    <w:p>
      <w:r>
        <w:rPr>
          <w:b/>
          <w:i w:val="0"/>
          <w:color w:val="12263B"/>
        </w:rPr>
        <w:t xml:space="preserve">Candidates.  </w:t>
      </w:r>
      <w:r>
        <w:rPr>
          <w:b w:val="0"/>
          <w:i w:val="0"/>
        </w:rPr>
        <w:t>Begin with naive/constant-position benchmarks plus logistic regression and tree-based models such as XGBoost or LightGBM. Consider LSTM only after demonstrating incremental benefit.</w:t>
      </w:r>
    </w:p>
    <w:p>
      <w:r>
        <w:rPr>
          <w:b/>
          <w:i w:val="0"/>
          <w:color w:val="12263B"/>
        </w:rPr>
        <w:t xml:space="preserve">Measurements.  </w:t>
      </w:r>
      <w:r>
        <w:rPr>
          <w:b w:val="0"/>
          <w:i w:val="0"/>
        </w:rPr>
        <w:t>Directional accuracy and balanced accuracy are diagnostic, but do not substitute for calibration, transaction-cost-aware net returns and risk-adjusted metrics.</w:t>
      </w:r>
    </w:p>
    <w:p>
      <w:pPr>
        <w:pStyle w:val="Heading2"/>
      </w:pPr>
      <w:r>
        <w:t>Volatility &amp; regime layer (P0)</w:t>
      </w:r>
    </w:p>
    <w:p>
      <w:r>
        <w:t>Compute rolling realized volatility and an interpretable regime state (e.g., trend / range / stressed). Compare EWMA and, where appropriate, GARCH-family models. The final regime affects risk budgets and whether a trade is permitted, not just dashboard labels.</w:t>
      </w:r>
    </w:p>
    <w:p>
      <w:pPr>
        <w:pStyle w:val="Heading2"/>
      </w:pPr>
      <w:r>
        <w:t>Macro, news &amp; derivatives context (P1)</w:t>
      </w:r>
    </w:p>
    <w:p>
      <w:r>
        <w:t>Optional factors include funding, open interest, liquidation activity, macro releases and BTC-relevant news. All features must respect publication time, exchange feed latency, missing data and revisions. No direct prediction is allowed to ingest an event that had not yet been observable.</w:t>
      </w:r>
    </w:p>
    <w:p>
      <w:pPr>
        <w:pStyle w:val="Heading2"/>
      </w:pPr>
      <w:r>
        <w:t>Reinforcement learning (P2 - gated research)</w:t>
      </w:r>
    </w:p>
    <w:p>
      <w:r>
        <w:t>Investigate PPO only after a reliable simulator and baselines exist. The environment must incorporate fees, slippage, position limits, delayed observations and realistic reward penalties for drawdown or excessive turnover. Evaluate on untouched regimes and report failure cases. An RL action is still subordinate to the deterministic risk engine.</w:t>
      </w:r>
    </w:p>
    <w:tbl>
      <w:tblPr>
        <w:tblW w:type="auto" w:w="0"/>
        <w:tblLayout w:type="fixed"/>
        <w:tblLook w:firstColumn="1" w:firstRow="1" w:lastColumn="0" w:lastRow="0" w:noHBand="0" w:noVBand="1" w:val="04A0"/>
      </w:tblPr>
      <w:tblGrid>
        <w:gridCol w:w="9524"/>
      </w:tblGrid>
      <w:tr>
        <w:tc>
          <w:tcPr>
            <w:tcW w:type="dxa" w:w="9582"/>
            <w:shd w:fill="E5F2F4"/>
            <w:tcMar>
              <w:top w:w="80" w:type="dxa"/>
              <w:start w:w="100" w:type="dxa"/>
              <w:bottom w:w="80" w:type="dxa"/>
              <w:end w:w="100" w:type="dxa"/>
            </w:tcMar>
          </w:tcPr>
          <w:p>
            <w:pPr>
              <w:pStyle w:val="TableText"/>
            </w:pPr>
            <w:r>
              <w:rPr>
                <w:b/>
                <w:i w:val="0"/>
                <w:color w:val="0A8995"/>
                <w:sz w:val="16"/>
              </w:rPr>
              <w:t>EVALUATION PROTOCOL</w:t>
            </w:r>
          </w:p>
        </w:tc>
      </w:tr>
    </w:tbl>
    <w:p>
      <w:pPr>
        <w:spacing w:after="0"/>
      </w:pPr>
    </w:p>
    <w:tbl>
      <w:tblPr>
        <w:tblW w:type="auto" w:w="0"/>
        <w:jc w:val="center"/>
        <w:tblLayout w:type="fixed"/>
        <w:tblLook w:firstColumn="1" w:firstRow="1" w:lastColumn="0" w:lastRow="0" w:noHBand="0" w:noVBand="1" w:val="04A0"/>
      </w:tblPr>
      <w:tblGrid>
        <w:gridCol w:w="1899"/>
        <w:gridCol w:w="7625"/>
      </w:tblGrid>
      <w:tr>
        <w:trPr>
          <w:tblHeader w:val="true"/>
          <w:cantSplit/>
        </w:trPr>
        <w:tc>
          <w:tcPr>
            <w:tcW w:type="dxa" w:w="4791"/>
            <w:vAlign w:val="center"/>
            <w:shd w:fill="142B42"/>
            <w:tcMar>
              <w:top w:w="95" w:type="dxa"/>
              <w:start w:w="90" w:type="dxa"/>
              <w:bottom w:w="95" w:type="dxa"/>
              <w:end w:w="90" w:type="dxa"/>
            </w:tcMar>
          </w:tcPr>
          <w:p>
            <w:pPr>
              <w:pStyle w:val="TableText"/>
            </w:pPr>
            <w:r>
              <w:rPr>
                <w:b/>
                <w:color w:val="FFFFFF"/>
                <w:sz w:val="15"/>
              </w:rPr>
              <w:t>CONTROL</w:t>
            </w:r>
          </w:p>
        </w:tc>
        <w:tc>
          <w:tcPr>
            <w:tcW w:type="dxa" w:w="4791"/>
            <w:vAlign w:val="center"/>
            <w:shd w:fill="142B42"/>
            <w:tcMar>
              <w:top w:w="95" w:type="dxa"/>
              <w:start w:w="90" w:type="dxa"/>
              <w:bottom w:w="95" w:type="dxa"/>
              <w:end w:w="90" w:type="dxa"/>
            </w:tcMar>
          </w:tcPr>
          <w:p>
            <w:pPr>
              <w:pStyle w:val="TableText"/>
            </w:pPr>
            <w:r>
              <w:rPr>
                <w:b/>
                <w:color w:val="FFFFFF"/>
                <w:sz w:val="15"/>
              </w:rPr>
              <w:t>MANDATORY EVALUATION RULE</w:t>
            </w:r>
          </w:p>
        </w:tc>
      </w:tr>
      <w:tr>
        <w:trPr>
          <w:cantSplit/>
        </w:trPr>
        <w:tc>
          <w:tcPr>
            <w:tcW w:type="dxa" w:w="189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Chronology</w:t>
            </w:r>
          </w:p>
        </w:tc>
        <w:tc>
          <w:tcPr>
            <w:tcW w:type="dxa" w:w="7625"/>
            <w:vAlign w:val="center"/>
            <w:tcMar>
              <w:top w:w="85" w:type="dxa"/>
              <w:start w:w="100" w:type="dxa"/>
              <w:bottom w:w="85" w:type="dxa"/>
              <w:end w:w="100" w:type="dxa"/>
            </w:tcMar>
            <w:shd w:fill="F1F6F8"/>
            <w:tcBorders>
              <w:bottom w:val="single" w:sz="3" w:color="D9E3E8"/>
            </w:tcBorders>
          </w:tcPr>
          <w:p>
            <w:pPr>
              <w:pStyle w:val="TableText"/>
            </w:pPr>
            <w:r/>
            <w:r>
              <w:rPr>
                <w:sz w:val="15"/>
              </w:rPr>
              <w:t>Time-based splits, purging/embargo where label windows overlap; no random split of sequential bars.</w:t>
            </w:r>
          </w:p>
        </w:tc>
      </w:tr>
      <w:tr>
        <w:trPr>
          <w:cantSplit/>
        </w:trPr>
        <w:tc>
          <w:tcPr>
            <w:tcW w:type="dxa" w:w="1899"/>
            <w:vAlign w:val="center"/>
            <w:tcMar>
              <w:top w:w="85" w:type="dxa"/>
              <w:start w:w="100" w:type="dxa"/>
              <w:bottom w:w="85" w:type="dxa"/>
              <w:end w:w="100" w:type="dxa"/>
            </w:tcMar>
            <w:tcBorders>
              <w:bottom w:val="single" w:sz="3" w:color="D9E3E8"/>
            </w:tcBorders>
          </w:tcPr>
          <w:p>
            <w:pPr>
              <w:pStyle w:val="TableText"/>
            </w:pPr>
            <w:r/>
            <w:r>
              <w:rPr>
                <w:b/>
                <w:color w:val="12263B"/>
                <w:sz w:val="15"/>
              </w:rPr>
              <w:t>Leakage</w:t>
            </w:r>
          </w:p>
        </w:tc>
        <w:tc>
          <w:tcPr>
            <w:tcW w:type="dxa" w:w="7625"/>
            <w:vAlign w:val="center"/>
            <w:tcMar>
              <w:top w:w="85" w:type="dxa"/>
              <w:start w:w="100" w:type="dxa"/>
              <w:bottom w:w="85" w:type="dxa"/>
              <w:end w:w="100" w:type="dxa"/>
            </w:tcMar>
            <w:tcBorders>
              <w:bottom w:val="single" w:sz="3" w:color="D9E3E8"/>
            </w:tcBorders>
          </w:tcPr>
          <w:p>
            <w:pPr>
              <w:pStyle w:val="TableText"/>
            </w:pPr>
            <w:r/>
            <w:r>
              <w:rPr>
                <w:sz w:val="15"/>
              </w:rPr>
              <w:t>Fit scalers and selectors only on training windows; align external events by availability time.</w:t>
            </w:r>
          </w:p>
        </w:tc>
      </w:tr>
      <w:tr>
        <w:trPr>
          <w:cantSplit/>
        </w:trPr>
        <w:tc>
          <w:tcPr>
            <w:tcW w:type="dxa" w:w="189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Robustness</w:t>
            </w:r>
          </w:p>
        </w:tc>
        <w:tc>
          <w:tcPr>
            <w:tcW w:type="dxa" w:w="7625"/>
            <w:vAlign w:val="center"/>
            <w:tcMar>
              <w:top w:w="85" w:type="dxa"/>
              <w:start w:w="100" w:type="dxa"/>
              <w:bottom w:w="85" w:type="dxa"/>
              <w:end w:w="100" w:type="dxa"/>
            </w:tcMar>
            <w:shd w:fill="F1F6F8"/>
            <w:tcBorders>
              <w:bottom w:val="single" w:sz="3" w:color="D9E3E8"/>
            </w:tcBorders>
          </w:tcPr>
          <w:p>
            <w:pPr>
              <w:pStyle w:val="TableText"/>
            </w:pPr>
            <w:r/>
            <w:r>
              <w:rPr>
                <w:sz w:val="15"/>
              </w:rPr>
              <w:t>Compare several market regimes and stress-cost assumptions; use repeated walk-forward windows.</w:t>
            </w:r>
          </w:p>
        </w:tc>
      </w:tr>
      <w:tr>
        <w:trPr>
          <w:cantSplit/>
        </w:trPr>
        <w:tc>
          <w:tcPr>
            <w:tcW w:type="dxa" w:w="1899"/>
            <w:vAlign w:val="center"/>
            <w:tcMar>
              <w:top w:w="85" w:type="dxa"/>
              <w:start w:w="100" w:type="dxa"/>
              <w:bottom w:w="85" w:type="dxa"/>
              <w:end w:w="100" w:type="dxa"/>
            </w:tcMar>
            <w:tcBorders>
              <w:bottom w:val="single" w:sz="3" w:color="D9E3E8"/>
            </w:tcBorders>
          </w:tcPr>
          <w:p>
            <w:pPr>
              <w:pStyle w:val="TableText"/>
            </w:pPr>
            <w:r/>
            <w:r>
              <w:rPr>
                <w:b/>
                <w:color w:val="12263B"/>
                <w:sz w:val="15"/>
              </w:rPr>
              <w:t>Benchmarks</w:t>
            </w:r>
          </w:p>
        </w:tc>
        <w:tc>
          <w:tcPr>
            <w:tcW w:type="dxa" w:w="7625"/>
            <w:vAlign w:val="center"/>
            <w:tcMar>
              <w:top w:w="85" w:type="dxa"/>
              <w:start w:w="100" w:type="dxa"/>
              <w:bottom w:w="85" w:type="dxa"/>
              <w:end w:w="100" w:type="dxa"/>
            </w:tcMar>
            <w:tcBorders>
              <w:bottom w:val="single" w:sz="3" w:color="D9E3E8"/>
            </w:tcBorders>
          </w:tcPr>
          <w:p>
            <w:pPr>
              <w:pStyle w:val="TableText"/>
            </w:pPr>
            <w:r/>
            <w:r>
              <w:rPr>
                <w:sz w:val="15"/>
              </w:rPr>
              <w:t>Compare buy-and-hold, no-trade, simple technical/rule strategies and baseline ML as relevant.</w:t>
            </w:r>
          </w:p>
        </w:tc>
      </w:tr>
      <w:tr>
        <w:trPr>
          <w:cantSplit/>
        </w:trPr>
        <w:tc>
          <w:tcPr>
            <w:tcW w:type="dxa" w:w="189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Metrics</w:t>
            </w:r>
          </w:p>
        </w:tc>
        <w:tc>
          <w:tcPr>
            <w:tcW w:type="dxa" w:w="7625"/>
            <w:vAlign w:val="center"/>
            <w:tcMar>
              <w:top w:w="85" w:type="dxa"/>
              <w:start w:w="100" w:type="dxa"/>
              <w:bottom w:w="85" w:type="dxa"/>
              <w:end w:w="100" w:type="dxa"/>
            </w:tcMar>
            <w:shd w:fill="F1F6F8"/>
            <w:tcBorders>
              <w:bottom w:val="single" w:sz="3" w:color="D9E3E8"/>
            </w:tcBorders>
          </w:tcPr>
          <w:p>
            <w:pPr>
              <w:pStyle w:val="TableText"/>
            </w:pPr>
            <w:r/>
            <w:r>
              <w:rPr>
                <w:sz w:val="15"/>
              </w:rPr>
              <w:t>Net return, max drawdown, Sharpe/Sortino (where meaningful), profit factor, exposure and turnover.</w:t>
            </w:r>
          </w:p>
        </w:tc>
      </w:tr>
      <w:tr>
        <w:trPr>
          <w:cantSplit/>
        </w:trPr>
        <w:tc>
          <w:tcPr>
            <w:tcW w:type="dxa" w:w="1899"/>
            <w:vAlign w:val="center"/>
            <w:tcMar>
              <w:top w:w="85" w:type="dxa"/>
              <w:start w:w="100" w:type="dxa"/>
              <w:bottom w:w="85" w:type="dxa"/>
              <w:end w:w="100" w:type="dxa"/>
            </w:tcMar>
            <w:tcBorders>
              <w:bottom w:val="single" w:sz="3" w:color="D9E3E8"/>
            </w:tcBorders>
          </w:tcPr>
          <w:p>
            <w:pPr>
              <w:pStyle w:val="TableText"/>
            </w:pPr>
            <w:r/>
            <w:r>
              <w:rPr>
                <w:b/>
                <w:color w:val="12263B"/>
                <w:sz w:val="15"/>
              </w:rPr>
              <w:t>Reproducibility</w:t>
            </w:r>
          </w:p>
        </w:tc>
        <w:tc>
          <w:tcPr>
            <w:tcW w:type="dxa" w:w="7625"/>
            <w:vAlign w:val="center"/>
            <w:tcMar>
              <w:top w:w="85" w:type="dxa"/>
              <w:start w:w="100" w:type="dxa"/>
              <w:bottom w:w="85" w:type="dxa"/>
              <w:end w:w="100" w:type="dxa"/>
            </w:tcMar>
            <w:tcBorders>
              <w:bottom w:val="single" w:sz="3" w:color="D9E3E8"/>
            </w:tcBorders>
          </w:tcPr>
          <w:p>
            <w:pPr>
              <w:pStyle w:val="TableText"/>
            </w:pPr>
            <w:r/>
            <w:r>
              <w:rPr>
                <w:sz w:val="15"/>
              </w:rPr>
              <w:t>Store seed, parameters, code commit, data snapshot, trading-cost model and full trade ledger.</w:t>
            </w:r>
          </w:p>
        </w:tc>
      </w:tr>
    </w:tbl>
    <w:p>
      <w:pPr>
        <w:spacing w:after="0"/>
      </w:pPr>
    </w:p>
    <w:p>
      <w:r>
        <w:br w:type="page"/>
      </w:r>
    </w:p>
    <w:p>
      <w:pPr>
        <w:pStyle w:val="Heading1"/>
      </w:pPr>
      <w:r>
        <w:t>08  Risk management &amp; simulation controls</w:t>
      </w:r>
    </w:p>
    <w:p>
      <w:pPr>
        <w:pStyle w:val="Heading2"/>
      </w:pPr>
      <w:r>
        <w:t>Non-negotiable behavior</w:t>
      </w:r>
    </w:p>
    <w:p>
      <w:r>
        <w:t>The system should be allowed to take no position. Every candidate action is checked against a configurable, independently implemented risk policy. In case of missing critical data, corrupt state, unconfirmed fills or unsafe exposure, the default is to pause new entries rather than guess.</w:t>
      </w:r>
    </w:p>
    <w:tbl>
      <w:tblPr>
        <w:tblW w:type="auto" w:w="0"/>
        <w:jc w:val="center"/>
        <w:tblLayout w:type="fixed"/>
        <w:tblLook w:firstColumn="1" w:firstRow="1" w:lastColumn="0" w:lastRow="0" w:noHBand="0" w:noVBand="1" w:val="04A0"/>
      </w:tblPr>
      <w:tblGrid>
        <w:gridCol w:w="1219"/>
        <w:gridCol w:w="5443"/>
        <w:gridCol w:w="2863"/>
      </w:tblGrid>
      <w:tr>
        <w:trPr>
          <w:tblHeader w:val="true"/>
          <w:cantSplit/>
        </w:trPr>
        <w:tc>
          <w:tcPr>
            <w:tcW w:type="dxa" w:w="3194"/>
            <w:vAlign w:val="center"/>
            <w:shd w:fill="142B42"/>
            <w:tcMar>
              <w:top w:w="95" w:type="dxa"/>
              <w:start w:w="90" w:type="dxa"/>
              <w:bottom w:w="95" w:type="dxa"/>
              <w:end w:w="90" w:type="dxa"/>
            </w:tcMar>
          </w:tcPr>
          <w:p>
            <w:pPr>
              <w:pStyle w:val="TableText"/>
            </w:pPr>
            <w:r>
              <w:rPr>
                <w:b/>
                <w:color w:val="FFFFFF"/>
                <w:sz w:val="15"/>
              </w:rPr>
              <w:t>CONTROL ID</w:t>
            </w:r>
          </w:p>
        </w:tc>
        <w:tc>
          <w:tcPr>
            <w:tcW w:type="dxa" w:w="3194"/>
            <w:vAlign w:val="center"/>
            <w:shd w:fill="142B42"/>
            <w:tcMar>
              <w:top w:w="95" w:type="dxa"/>
              <w:start w:w="90" w:type="dxa"/>
              <w:bottom w:w="95" w:type="dxa"/>
              <w:end w:w="90" w:type="dxa"/>
            </w:tcMar>
          </w:tcPr>
          <w:p>
            <w:pPr>
              <w:pStyle w:val="TableText"/>
            </w:pPr>
            <w:r>
              <w:rPr>
                <w:b/>
                <w:color w:val="FFFFFF"/>
                <w:sz w:val="15"/>
              </w:rPr>
              <w:t>RULE TO IMPLEMENT</w:t>
            </w:r>
          </w:p>
        </w:tc>
        <w:tc>
          <w:tcPr>
            <w:tcW w:type="dxa" w:w="3194"/>
            <w:vAlign w:val="center"/>
            <w:shd w:fill="142B42"/>
            <w:tcMar>
              <w:top w:w="95" w:type="dxa"/>
              <w:start w:w="90" w:type="dxa"/>
              <w:bottom w:w="95" w:type="dxa"/>
              <w:end w:w="90" w:type="dxa"/>
            </w:tcMar>
          </w:tcPr>
          <w:p>
            <w:pPr>
              <w:pStyle w:val="TableText"/>
            </w:pPr>
            <w:r>
              <w:rPr>
                <w:b/>
                <w:color w:val="FFFFFF"/>
                <w:sz w:val="15"/>
              </w:rPr>
              <w:t>REQUIRED TEST</w:t>
            </w:r>
          </w:p>
        </w:tc>
      </w:tr>
      <w:tr>
        <w:trPr>
          <w:cantSplit/>
        </w:trPr>
        <w:tc>
          <w:tcPr>
            <w:tcW w:type="dxa" w:w="1219"/>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RM-01</w:t>
            </w:r>
          </w:p>
        </w:tc>
        <w:tc>
          <w:tcPr>
            <w:tcW w:type="dxa" w:w="5443"/>
            <w:vAlign w:val="center"/>
            <w:tcMar>
              <w:top w:w="85" w:type="dxa"/>
              <w:start w:w="100" w:type="dxa"/>
              <w:bottom w:w="85" w:type="dxa"/>
              <w:end w:w="100" w:type="dxa"/>
            </w:tcMar>
            <w:shd w:fill="F1F6F8"/>
            <w:tcBorders>
              <w:bottom w:val="single" w:sz="3" w:color="D9E3E8"/>
            </w:tcBorders>
          </w:tcPr>
          <w:p>
            <w:pPr>
              <w:pStyle w:val="TableText"/>
            </w:pPr>
            <w:r/>
            <w:r>
              <w:rPr>
                <w:sz w:val="16"/>
              </w:rPr>
              <w:t>Hard caps on exposure, position size, concurrent positions and optional leverage.</w:t>
            </w:r>
          </w:p>
        </w:tc>
        <w:tc>
          <w:tcPr>
            <w:tcW w:type="dxa" w:w="2863"/>
            <w:vAlign w:val="center"/>
            <w:tcMar>
              <w:top w:w="85" w:type="dxa"/>
              <w:start w:w="100" w:type="dxa"/>
              <w:bottom w:w="85" w:type="dxa"/>
              <w:end w:w="100" w:type="dxa"/>
            </w:tcMar>
            <w:shd w:fill="F1F6F8"/>
            <w:tcBorders>
              <w:bottom w:val="single" w:sz="3" w:color="D9E3E8"/>
            </w:tcBorders>
          </w:tcPr>
          <w:p>
            <w:pPr>
              <w:pStyle w:val="TableText"/>
            </w:pPr>
            <w:r/>
            <w:r>
              <w:rPr>
                <w:sz w:val="16"/>
              </w:rPr>
              <w:t>Proposed oversized trade rejected.</w:t>
            </w:r>
          </w:p>
        </w:tc>
      </w:tr>
      <w:tr>
        <w:trPr>
          <w:cantSplit/>
        </w:trPr>
        <w:tc>
          <w:tcPr>
            <w:tcW w:type="dxa" w:w="1219"/>
            <w:vAlign w:val="center"/>
            <w:tcMar>
              <w:top w:w="85" w:type="dxa"/>
              <w:start w:w="100" w:type="dxa"/>
              <w:bottom w:w="85" w:type="dxa"/>
              <w:end w:w="100" w:type="dxa"/>
            </w:tcMar>
            <w:tcBorders>
              <w:bottom w:val="single" w:sz="3" w:color="D9E3E8"/>
            </w:tcBorders>
          </w:tcPr>
          <w:p>
            <w:pPr>
              <w:pStyle w:val="TableText"/>
            </w:pPr>
            <w:r/>
            <w:r>
              <w:rPr>
                <w:b/>
                <w:color w:val="12263B"/>
                <w:sz w:val="16"/>
              </w:rPr>
              <w:t>RM-02</w:t>
            </w:r>
          </w:p>
        </w:tc>
        <w:tc>
          <w:tcPr>
            <w:tcW w:type="dxa" w:w="5443"/>
            <w:vAlign w:val="center"/>
            <w:tcMar>
              <w:top w:w="85" w:type="dxa"/>
              <w:start w:w="100" w:type="dxa"/>
              <w:bottom w:w="85" w:type="dxa"/>
              <w:end w:w="100" w:type="dxa"/>
            </w:tcMar>
            <w:tcBorders>
              <w:bottom w:val="single" w:sz="3" w:color="D9E3E8"/>
            </w:tcBorders>
          </w:tcPr>
          <w:p>
            <w:pPr>
              <w:pStyle w:val="TableText"/>
            </w:pPr>
            <w:r/>
            <w:r>
              <w:rPr>
                <w:sz w:val="16"/>
              </w:rPr>
              <w:t>Per-trade stop/invalidation logic and maximum simulated loss budget.</w:t>
            </w:r>
          </w:p>
        </w:tc>
        <w:tc>
          <w:tcPr>
            <w:tcW w:type="dxa" w:w="2863"/>
            <w:vAlign w:val="center"/>
            <w:tcMar>
              <w:top w:w="85" w:type="dxa"/>
              <w:start w:w="100" w:type="dxa"/>
              <w:bottom w:w="85" w:type="dxa"/>
              <w:end w:w="100" w:type="dxa"/>
            </w:tcMar>
            <w:tcBorders>
              <w:bottom w:val="single" w:sz="3" w:color="D9E3E8"/>
            </w:tcBorders>
          </w:tcPr>
          <w:p>
            <w:pPr>
              <w:pStyle w:val="TableText"/>
            </w:pPr>
            <w:r/>
            <w:r>
              <w:rPr>
                <w:sz w:val="16"/>
              </w:rPr>
              <w:t>Loss-limit crossing triggers documented mitigation.</w:t>
            </w:r>
          </w:p>
        </w:tc>
      </w:tr>
      <w:tr>
        <w:trPr>
          <w:cantSplit/>
        </w:trPr>
        <w:tc>
          <w:tcPr>
            <w:tcW w:type="dxa" w:w="1219"/>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RM-03</w:t>
            </w:r>
          </w:p>
        </w:tc>
        <w:tc>
          <w:tcPr>
            <w:tcW w:type="dxa" w:w="5443"/>
            <w:vAlign w:val="center"/>
            <w:tcMar>
              <w:top w:w="85" w:type="dxa"/>
              <w:start w:w="100" w:type="dxa"/>
              <w:bottom w:w="85" w:type="dxa"/>
              <w:end w:w="100" w:type="dxa"/>
            </w:tcMar>
            <w:shd w:fill="F1F6F8"/>
            <w:tcBorders>
              <w:bottom w:val="single" w:sz="3" w:color="D9E3E8"/>
            </w:tcBorders>
          </w:tcPr>
          <w:p>
            <w:pPr>
              <w:pStyle w:val="TableText"/>
            </w:pPr>
            <w:r/>
            <w:r>
              <w:rPr>
                <w:sz w:val="16"/>
              </w:rPr>
              <w:t>Portfolio drawdown and daily-loss circuit breakers.</w:t>
            </w:r>
          </w:p>
        </w:tc>
        <w:tc>
          <w:tcPr>
            <w:tcW w:type="dxa" w:w="2863"/>
            <w:vAlign w:val="center"/>
            <w:tcMar>
              <w:top w:w="85" w:type="dxa"/>
              <w:start w:w="100" w:type="dxa"/>
              <w:bottom w:w="85" w:type="dxa"/>
              <w:end w:w="100" w:type="dxa"/>
            </w:tcMar>
            <w:shd w:fill="F1F6F8"/>
            <w:tcBorders>
              <w:bottom w:val="single" w:sz="3" w:color="D9E3E8"/>
            </w:tcBorders>
          </w:tcPr>
          <w:p>
            <w:pPr>
              <w:pStyle w:val="TableText"/>
            </w:pPr>
            <w:r/>
            <w:r>
              <w:rPr>
                <w:sz w:val="16"/>
              </w:rPr>
              <w:t>Threshold breach prevents new entries.</w:t>
            </w:r>
          </w:p>
        </w:tc>
      </w:tr>
      <w:tr>
        <w:trPr>
          <w:cantSplit/>
        </w:trPr>
        <w:tc>
          <w:tcPr>
            <w:tcW w:type="dxa" w:w="1219"/>
            <w:vAlign w:val="center"/>
            <w:tcMar>
              <w:top w:w="85" w:type="dxa"/>
              <w:start w:w="100" w:type="dxa"/>
              <w:bottom w:w="85" w:type="dxa"/>
              <w:end w:w="100" w:type="dxa"/>
            </w:tcMar>
            <w:tcBorders>
              <w:bottom w:val="single" w:sz="3" w:color="D9E3E8"/>
            </w:tcBorders>
          </w:tcPr>
          <w:p>
            <w:pPr>
              <w:pStyle w:val="TableText"/>
            </w:pPr>
            <w:r/>
            <w:r>
              <w:rPr>
                <w:b/>
                <w:color w:val="12263B"/>
                <w:sz w:val="16"/>
              </w:rPr>
              <w:t>RM-04</w:t>
            </w:r>
          </w:p>
        </w:tc>
        <w:tc>
          <w:tcPr>
            <w:tcW w:type="dxa" w:w="5443"/>
            <w:vAlign w:val="center"/>
            <w:tcMar>
              <w:top w:w="85" w:type="dxa"/>
              <w:start w:w="100" w:type="dxa"/>
              <w:bottom w:w="85" w:type="dxa"/>
              <w:end w:w="100" w:type="dxa"/>
            </w:tcMar>
            <w:tcBorders>
              <w:bottom w:val="single" w:sz="3" w:color="D9E3E8"/>
            </w:tcBorders>
          </w:tcPr>
          <w:p>
            <w:pPr>
              <w:pStyle w:val="TableText"/>
            </w:pPr>
            <w:r/>
            <w:r>
              <w:rPr>
                <w:sz w:val="16"/>
              </w:rPr>
              <w:t>Slippage, spread, exchange fees and funding (if perp) included in decisions/simulation.</w:t>
            </w:r>
          </w:p>
        </w:tc>
        <w:tc>
          <w:tcPr>
            <w:tcW w:type="dxa" w:w="2863"/>
            <w:vAlign w:val="center"/>
            <w:tcMar>
              <w:top w:w="85" w:type="dxa"/>
              <w:start w:w="100" w:type="dxa"/>
              <w:bottom w:w="85" w:type="dxa"/>
              <w:end w:w="100" w:type="dxa"/>
            </w:tcMar>
            <w:tcBorders>
              <w:bottom w:val="single" w:sz="3" w:color="D9E3E8"/>
            </w:tcBorders>
          </w:tcPr>
          <w:p>
            <w:pPr>
              <w:pStyle w:val="TableText"/>
            </w:pPr>
            <w:r/>
            <w:r>
              <w:rPr>
                <w:sz w:val="16"/>
              </w:rPr>
              <w:t>Cost increase can change trade to No trade.</w:t>
            </w:r>
          </w:p>
        </w:tc>
      </w:tr>
      <w:tr>
        <w:trPr>
          <w:cantSplit/>
        </w:trPr>
        <w:tc>
          <w:tcPr>
            <w:tcW w:type="dxa" w:w="1219"/>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RM-05</w:t>
            </w:r>
          </w:p>
        </w:tc>
        <w:tc>
          <w:tcPr>
            <w:tcW w:type="dxa" w:w="5443"/>
            <w:vAlign w:val="center"/>
            <w:tcMar>
              <w:top w:w="85" w:type="dxa"/>
              <w:start w:w="100" w:type="dxa"/>
              <w:bottom w:w="85" w:type="dxa"/>
              <w:end w:w="100" w:type="dxa"/>
            </w:tcMar>
            <w:shd w:fill="F1F6F8"/>
            <w:tcBorders>
              <w:bottom w:val="single" w:sz="3" w:color="D9E3E8"/>
            </w:tcBorders>
          </w:tcPr>
          <w:p>
            <w:pPr>
              <w:pStyle w:val="TableText"/>
            </w:pPr>
            <w:r/>
            <w:r>
              <w:rPr>
                <w:sz w:val="16"/>
              </w:rPr>
              <w:t>Stale data, exchange/feed outage, clock drift and missing dependencies fail safely.</w:t>
            </w:r>
          </w:p>
        </w:tc>
        <w:tc>
          <w:tcPr>
            <w:tcW w:type="dxa" w:w="2863"/>
            <w:vAlign w:val="center"/>
            <w:tcMar>
              <w:top w:w="85" w:type="dxa"/>
              <w:start w:w="100" w:type="dxa"/>
              <w:bottom w:w="85" w:type="dxa"/>
              <w:end w:w="100" w:type="dxa"/>
            </w:tcMar>
            <w:shd w:fill="F1F6F8"/>
            <w:tcBorders>
              <w:bottom w:val="single" w:sz="3" w:color="D9E3E8"/>
            </w:tcBorders>
          </w:tcPr>
          <w:p>
            <w:pPr>
              <w:pStyle w:val="TableText"/>
            </w:pPr>
            <w:r/>
            <w:r>
              <w:rPr>
                <w:sz w:val="16"/>
              </w:rPr>
              <w:t>Injected outage causes halt and alert.</w:t>
            </w:r>
          </w:p>
        </w:tc>
      </w:tr>
      <w:tr>
        <w:trPr>
          <w:cantSplit/>
        </w:trPr>
        <w:tc>
          <w:tcPr>
            <w:tcW w:type="dxa" w:w="1219"/>
            <w:vAlign w:val="center"/>
            <w:tcMar>
              <w:top w:w="85" w:type="dxa"/>
              <w:start w:w="100" w:type="dxa"/>
              <w:bottom w:w="85" w:type="dxa"/>
              <w:end w:w="100" w:type="dxa"/>
            </w:tcMar>
            <w:tcBorders>
              <w:bottom w:val="single" w:sz="3" w:color="D9E3E8"/>
            </w:tcBorders>
          </w:tcPr>
          <w:p>
            <w:pPr>
              <w:pStyle w:val="TableText"/>
            </w:pPr>
            <w:r/>
            <w:r>
              <w:rPr>
                <w:b/>
                <w:color w:val="12263B"/>
                <w:sz w:val="16"/>
              </w:rPr>
              <w:t>RM-06</w:t>
            </w:r>
          </w:p>
        </w:tc>
        <w:tc>
          <w:tcPr>
            <w:tcW w:type="dxa" w:w="5443"/>
            <w:vAlign w:val="center"/>
            <w:tcMar>
              <w:top w:w="85" w:type="dxa"/>
              <w:start w:w="100" w:type="dxa"/>
              <w:bottom w:w="85" w:type="dxa"/>
              <w:end w:w="100" w:type="dxa"/>
            </w:tcMar>
            <w:tcBorders>
              <w:bottom w:val="single" w:sz="3" w:color="D9E3E8"/>
            </w:tcBorders>
          </w:tcPr>
          <w:p>
            <w:pPr>
              <w:pStyle w:val="TableText"/>
            </w:pPr>
            <w:r/>
            <w:r>
              <w:rPr>
                <w:sz w:val="16"/>
              </w:rPr>
              <w:t>Global paper-trading pause / kill switch with observable state.</w:t>
            </w:r>
          </w:p>
        </w:tc>
        <w:tc>
          <w:tcPr>
            <w:tcW w:type="dxa" w:w="2863"/>
            <w:vAlign w:val="center"/>
            <w:tcMar>
              <w:top w:w="85" w:type="dxa"/>
              <w:start w:w="100" w:type="dxa"/>
              <w:bottom w:w="85" w:type="dxa"/>
              <w:end w:w="100" w:type="dxa"/>
            </w:tcMar>
            <w:tcBorders>
              <w:bottom w:val="single" w:sz="3" w:color="D9E3E8"/>
            </w:tcBorders>
          </w:tcPr>
          <w:p>
            <w:pPr>
              <w:pStyle w:val="TableText"/>
            </w:pPr>
            <w:r/>
            <w:r>
              <w:rPr>
                <w:sz w:val="16"/>
              </w:rPr>
              <w:t>No new paper orders after operator pause.</w:t>
            </w:r>
          </w:p>
        </w:tc>
      </w:tr>
      <w:tr>
        <w:trPr>
          <w:cantSplit/>
        </w:trPr>
        <w:tc>
          <w:tcPr>
            <w:tcW w:type="dxa" w:w="1219"/>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RM-07</w:t>
            </w:r>
          </w:p>
        </w:tc>
        <w:tc>
          <w:tcPr>
            <w:tcW w:type="dxa" w:w="5443"/>
            <w:vAlign w:val="center"/>
            <w:tcMar>
              <w:top w:w="85" w:type="dxa"/>
              <w:start w:w="100" w:type="dxa"/>
              <w:bottom w:w="85" w:type="dxa"/>
              <w:end w:w="100" w:type="dxa"/>
            </w:tcMar>
            <w:shd w:fill="F1F6F8"/>
            <w:tcBorders>
              <w:bottom w:val="single" w:sz="3" w:color="D9E3E8"/>
            </w:tcBorders>
          </w:tcPr>
          <w:p>
            <w:pPr>
              <w:pStyle w:val="TableText"/>
            </w:pPr>
            <w:r/>
            <w:r>
              <w:rPr>
                <w:sz w:val="16"/>
              </w:rPr>
              <w:t>Risk limits stored in versioned config; model code cannot override.</w:t>
            </w:r>
          </w:p>
        </w:tc>
        <w:tc>
          <w:tcPr>
            <w:tcW w:type="dxa" w:w="2863"/>
            <w:vAlign w:val="center"/>
            <w:tcMar>
              <w:top w:w="85" w:type="dxa"/>
              <w:start w:w="100" w:type="dxa"/>
              <w:bottom w:w="85" w:type="dxa"/>
              <w:end w:w="100" w:type="dxa"/>
            </w:tcMar>
            <w:shd w:fill="F1F6F8"/>
            <w:tcBorders>
              <w:bottom w:val="single" w:sz="3" w:color="D9E3E8"/>
            </w:tcBorders>
          </w:tcPr>
          <w:p>
            <w:pPr>
              <w:pStyle w:val="TableText"/>
            </w:pPr>
            <w:r/>
            <w:r>
              <w:rPr>
                <w:sz w:val="16"/>
              </w:rPr>
              <w:t>Unauthorized config changes rejected/logged.</w:t>
            </w:r>
          </w:p>
        </w:tc>
      </w:tr>
    </w:tbl>
    <w:p>
      <w:pPr>
        <w:spacing w:after="0"/>
      </w:pPr>
    </w:p>
    <w:p>
      <w:pPr>
        <w:pStyle w:val="Heading2"/>
      </w:pPr>
      <w:r>
        <w:t>Backtesting engine essentials</w:t>
      </w:r>
    </w:p>
    <w:p>
      <w:pPr>
        <w:spacing w:after="40"/>
        <w:ind w:left="238" w:hanging="159"/>
      </w:pPr>
      <w:r>
        <w:rPr>
          <w:b/>
          <w:i w:val="0"/>
          <w:color w:val="0A8995"/>
        </w:rPr>
        <w:t xml:space="preserve">•  </w:t>
      </w:r>
      <w:r>
        <w:rPr>
          <w:b w:val="0"/>
          <w:i w:val="0"/>
        </w:rPr>
        <w:t>Order and fill simulation must operate chronologically with observable prices and configurable fill conventions.</w:t>
      </w:r>
    </w:p>
    <w:p>
      <w:pPr>
        <w:spacing w:after="40"/>
        <w:ind w:left="238" w:hanging="159"/>
      </w:pPr>
      <w:r>
        <w:rPr>
          <w:b/>
          <w:i w:val="0"/>
          <w:color w:val="0A8995"/>
        </w:rPr>
        <w:t xml:space="preserve">•  </w:t>
      </w:r>
      <w:r>
        <w:rPr>
          <w:b w:val="0"/>
          <w:i w:val="0"/>
        </w:rPr>
        <w:t>Execution costs must be parameterized; include spread, fees, slippage, and funding if perpetual futures are modeled.</w:t>
      </w:r>
    </w:p>
    <w:p>
      <w:pPr>
        <w:spacing w:after="40"/>
        <w:ind w:left="238" w:hanging="159"/>
      </w:pPr>
      <w:r>
        <w:rPr>
          <w:b/>
          <w:i w:val="0"/>
          <w:color w:val="0A8995"/>
        </w:rPr>
        <w:t xml:space="preserve">•  </w:t>
      </w:r>
      <w:r>
        <w:rPr>
          <w:b w:val="0"/>
          <w:i w:val="0"/>
        </w:rPr>
        <w:t>Model partial fills, stop execution and liquidation assumptions explicitly where instrument design requires them.</w:t>
      </w:r>
    </w:p>
    <w:p>
      <w:pPr>
        <w:spacing w:after="40"/>
        <w:ind w:left="238" w:hanging="159"/>
      </w:pPr>
      <w:r>
        <w:rPr>
          <w:b/>
          <w:i w:val="0"/>
          <w:color w:val="0A8995"/>
        </w:rPr>
        <w:t xml:space="preserve">•  </w:t>
      </w:r>
      <w:r>
        <w:rPr>
          <w:b w:val="0"/>
          <w:i w:val="0"/>
        </w:rPr>
        <w:t>Export trade ledger, cumulative P&amp;L, exposure, regime-by-regime outcomes and per-trade reason codes.</w:t>
      </w:r>
    </w:p>
    <w:p>
      <w:pPr>
        <w:spacing w:after="40"/>
        <w:ind w:left="238" w:hanging="159"/>
      </w:pPr>
      <w:r>
        <w:rPr>
          <w:b/>
          <w:i w:val="0"/>
          <w:color w:val="0A8995"/>
        </w:rPr>
        <w:t xml:space="preserve">•  </w:t>
      </w:r>
      <w:r>
        <w:rPr>
          <w:b w:val="0"/>
          <w:i w:val="0"/>
        </w:rPr>
        <w:t>Every reported metric must reconcile with the same event ledger used by paper trading.</w:t>
      </w:r>
    </w:p>
    <w:p>
      <w:pPr>
        <w:pStyle w:val="Heading2"/>
      </w:pPr>
      <w:r>
        <w:t>Paper-trading promotion gate</w:t>
      </w:r>
    </w:p>
    <w:p>
      <w:r>
        <w:t>Strategy may proceed from offline testing to paper trading only after walk-forward, stress-cost and risk-rule tests pass. A move beyond paper trading requires a separate operational, security and regulatory review; this document does not authorize live trades.</w:t>
      </w:r>
    </w:p>
    <w:p>
      <w:r>
        <w:br w:type="page"/>
      </w:r>
    </w:p>
    <w:p>
      <w:pPr>
        <w:pStyle w:val="Heading1"/>
      </w:pPr>
      <w:r>
        <w:t>09  Nonfunctional, security &amp; operational requirements</w:t>
      </w:r>
    </w:p>
    <w:tbl>
      <w:tblPr>
        <w:tblW w:type="auto" w:w="0"/>
        <w:jc w:val="center"/>
        <w:tblLayout w:type="fixed"/>
        <w:tblLook w:firstColumn="1" w:firstRow="1" w:lastColumn="0" w:lastRow="0" w:noHBand="0" w:noVBand="1" w:val="04A0"/>
      </w:tblPr>
      <w:tblGrid>
        <w:gridCol w:w="879"/>
        <w:gridCol w:w="1474"/>
        <w:gridCol w:w="7172"/>
      </w:tblGrid>
      <w:tr>
        <w:trPr>
          <w:tblHeader w:val="true"/>
          <w:cantSplit/>
        </w:trPr>
        <w:tc>
          <w:tcPr>
            <w:tcW w:type="dxa" w:w="3194"/>
            <w:vAlign w:val="center"/>
            <w:shd w:fill="142B42"/>
            <w:tcMar>
              <w:top w:w="95" w:type="dxa"/>
              <w:start w:w="90" w:type="dxa"/>
              <w:bottom w:w="95" w:type="dxa"/>
              <w:end w:w="90" w:type="dxa"/>
            </w:tcMar>
          </w:tcPr>
          <w:p>
            <w:pPr>
              <w:pStyle w:val="TableText"/>
            </w:pPr>
            <w:r>
              <w:rPr>
                <w:b/>
                <w:color w:val="FFFFFF"/>
                <w:sz w:val="15"/>
              </w:rPr>
              <w:t>ID</w:t>
            </w:r>
          </w:p>
        </w:tc>
        <w:tc>
          <w:tcPr>
            <w:tcW w:type="dxa" w:w="3194"/>
            <w:vAlign w:val="center"/>
            <w:shd w:fill="142B42"/>
            <w:tcMar>
              <w:top w:w="95" w:type="dxa"/>
              <w:start w:w="90" w:type="dxa"/>
              <w:bottom w:w="95" w:type="dxa"/>
              <w:end w:w="90" w:type="dxa"/>
            </w:tcMar>
          </w:tcPr>
          <w:p>
            <w:pPr>
              <w:pStyle w:val="TableText"/>
            </w:pPr>
            <w:r>
              <w:rPr>
                <w:b/>
                <w:color w:val="FFFFFF"/>
                <w:sz w:val="15"/>
              </w:rPr>
              <w:t>CATEGORY</w:t>
            </w:r>
          </w:p>
        </w:tc>
        <w:tc>
          <w:tcPr>
            <w:tcW w:type="dxa" w:w="3194"/>
            <w:vAlign w:val="center"/>
            <w:shd w:fill="142B42"/>
            <w:tcMar>
              <w:top w:w="95" w:type="dxa"/>
              <w:start w:w="90" w:type="dxa"/>
              <w:bottom w:w="95" w:type="dxa"/>
              <w:end w:w="90" w:type="dxa"/>
            </w:tcMar>
          </w:tcPr>
          <w:p>
            <w:pPr>
              <w:pStyle w:val="TableText"/>
            </w:pPr>
            <w:r>
              <w:rPr>
                <w:b/>
                <w:color w:val="FFFFFF"/>
                <w:sz w:val="15"/>
              </w:rPr>
              <w:t>DRAFT REQUIREMENT / PROPOSED VALIDATION</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NFR-01</w:t>
            </w:r>
          </w:p>
        </w:tc>
        <w:tc>
          <w:tcPr>
            <w:tcW w:type="dxa" w:w="1474"/>
            <w:vAlign w:val="center"/>
            <w:tcMar>
              <w:top w:w="85" w:type="dxa"/>
              <w:start w:w="100" w:type="dxa"/>
              <w:bottom w:w="85" w:type="dxa"/>
              <w:end w:w="100" w:type="dxa"/>
            </w:tcMar>
            <w:shd w:fill="F1F6F8"/>
            <w:tcBorders>
              <w:bottom w:val="single" w:sz="3" w:color="D9E3E8"/>
            </w:tcBorders>
          </w:tcPr>
          <w:p>
            <w:pPr>
              <w:pStyle w:val="TableText"/>
            </w:pPr>
            <w:r/>
            <w:r>
              <w:rPr>
                <w:sz w:val="15"/>
              </w:rPr>
              <w:t>Correctness</w:t>
            </w:r>
          </w:p>
        </w:tc>
        <w:tc>
          <w:tcPr>
            <w:tcW w:type="dxa" w:w="7172"/>
            <w:vAlign w:val="center"/>
            <w:tcMar>
              <w:top w:w="85" w:type="dxa"/>
              <w:start w:w="100" w:type="dxa"/>
              <w:bottom w:w="85" w:type="dxa"/>
              <w:end w:w="100" w:type="dxa"/>
            </w:tcMar>
            <w:shd w:fill="F1F6F8"/>
            <w:tcBorders>
              <w:bottom w:val="single" w:sz="3" w:color="D9E3E8"/>
            </w:tcBorders>
          </w:tcPr>
          <w:p>
            <w:pPr>
              <w:pStyle w:val="TableText"/>
            </w:pPr>
            <w:r/>
            <w:r>
              <w:rPr>
                <w:sz w:val="15"/>
              </w:rPr>
              <w:t>All features and decisions must have auditable event-time cutoffs; no look-ahead bias in validated test fixtures.</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NFR-02</w:t>
            </w:r>
          </w:p>
        </w:tc>
        <w:tc>
          <w:tcPr>
            <w:tcW w:type="dxa" w:w="1474"/>
            <w:vAlign w:val="center"/>
            <w:tcMar>
              <w:top w:w="85" w:type="dxa"/>
              <w:start w:w="100" w:type="dxa"/>
              <w:bottom w:w="85" w:type="dxa"/>
              <w:end w:w="100" w:type="dxa"/>
            </w:tcMar>
            <w:tcBorders>
              <w:bottom w:val="single" w:sz="3" w:color="D9E3E8"/>
            </w:tcBorders>
          </w:tcPr>
          <w:p>
            <w:pPr>
              <w:pStyle w:val="TableText"/>
            </w:pPr>
            <w:r/>
            <w:r>
              <w:rPr>
                <w:sz w:val="15"/>
              </w:rPr>
              <w:t>Reproducibility</w:t>
            </w:r>
          </w:p>
        </w:tc>
        <w:tc>
          <w:tcPr>
            <w:tcW w:type="dxa" w:w="7172"/>
            <w:vAlign w:val="center"/>
            <w:tcMar>
              <w:top w:w="85" w:type="dxa"/>
              <w:start w:w="100" w:type="dxa"/>
              <w:bottom w:w="85" w:type="dxa"/>
              <w:end w:w="100" w:type="dxa"/>
            </w:tcMar>
            <w:tcBorders>
              <w:bottom w:val="single" w:sz="3" w:color="D9E3E8"/>
            </w:tcBorders>
          </w:tcPr>
          <w:p>
            <w:pPr>
              <w:pStyle w:val="TableText"/>
            </w:pPr>
            <w:r/>
            <w:r>
              <w:rPr>
                <w:sz w:val="15"/>
              </w:rPr>
              <w:t>Pinned data/model/config versions reproduce a run within documented numeric tolerances.</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NFR-03</w:t>
            </w:r>
          </w:p>
        </w:tc>
        <w:tc>
          <w:tcPr>
            <w:tcW w:type="dxa" w:w="1474"/>
            <w:vAlign w:val="center"/>
            <w:tcMar>
              <w:top w:w="85" w:type="dxa"/>
              <w:start w:w="100" w:type="dxa"/>
              <w:bottom w:w="85" w:type="dxa"/>
              <w:end w:w="100" w:type="dxa"/>
            </w:tcMar>
            <w:shd w:fill="F1F6F8"/>
            <w:tcBorders>
              <w:bottom w:val="single" w:sz="3" w:color="D9E3E8"/>
            </w:tcBorders>
          </w:tcPr>
          <w:p>
            <w:pPr>
              <w:pStyle w:val="TableText"/>
            </w:pPr>
            <w:r/>
            <w:r>
              <w:rPr>
                <w:sz w:val="15"/>
              </w:rPr>
              <w:t>Performance</w:t>
            </w:r>
          </w:p>
        </w:tc>
        <w:tc>
          <w:tcPr>
            <w:tcW w:type="dxa" w:w="7172"/>
            <w:vAlign w:val="center"/>
            <w:tcMar>
              <w:top w:w="85" w:type="dxa"/>
              <w:start w:w="100" w:type="dxa"/>
              <w:bottom w:w="85" w:type="dxa"/>
              <w:end w:w="100" w:type="dxa"/>
            </w:tcMar>
            <w:shd w:fill="F1F6F8"/>
            <w:tcBorders>
              <w:bottom w:val="single" w:sz="3" w:color="D9E3E8"/>
            </w:tcBorders>
          </w:tcPr>
          <w:p>
            <w:pPr>
              <w:pStyle w:val="TableText"/>
            </w:pPr>
            <w:r/>
            <w:r>
              <w:rPr>
                <w:sz w:val="15"/>
              </w:rPr>
              <w:t>Proposed user-experience target: common dashboard views load within ~2 seconds from cached/local data.</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NFR-04</w:t>
            </w:r>
          </w:p>
        </w:tc>
        <w:tc>
          <w:tcPr>
            <w:tcW w:type="dxa" w:w="1474"/>
            <w:vAlign w:val="center"/>
            <w:tcMar>
              <w:top w:w="85" w:type="dxa"/>
              <w:start w:w="100" w:type="dxa"/>
              <w:bottom w:w="85" w:type="dxa"/>
              <w:end w:w="100" w:type="dxa"/>
            </w:tcMar>
            <w:tcBorders>
              <w:bottom w:val="single" w:sz="3" w:color="D9E3E8"/>
            </w:tcBorders>
          </w:tcPr>
          <w:p>
            <w:pPr>
              <w:pStyle w:val="TableText"/>
            </w:pPr>
            <w:r/>
            <w:r>
              <w:rPr>
                <w:sz w:val="15"/>
              </w:rPr>
              <w:t>Resilience</w:t>
            </w:r>
          </w:p>
        </w:tc>
        <w:tc>
          <w:tcPr>
            <w:tcW w:type="dxa" w:w="7172"/>
            <w:vAlign w:val="center"/>
            <w:tcMar>
              <w:top w:w="85" w:type="dxa"/>
              <w:start w:w="100" w:type="dxa"/>
              <w:bottom w:w="85" w:type="dxa"/>
              <w:end w:w="100" w:type="dxa"/>
            </w:tcMar>
            <w:tcBorders>
              <w:bottom w:val="single" w:sz="3" w:color="D9E3E8"/>
            </w:tcBorders>
          </w:tcPr>
          <w:p>
            <w:pPr>
              <w:pStyle w:val="TableText"/>
            </w:pPr>
            <w:r/>
            <w:r>
              <w:rPr>
                <w:sz w:val="15"/>
              </w:rPr>
              <w:t>Outage/restart is recoverable via persisted paper ledger; no duplicate simulated orders on retry.</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NFR-05</w:t>
            </w:r>
          </w:p>
        </w:tc>
        <w:tc>
          <w:tcPr>
            <w:tcW w:type="dxa" w:w="1474"/>
            <w:vAlign w:val="center"/>
            <w:tcMar>
              <w:top w:w="85" w:type="dxa"/>
              <w:start w:w="100" w:type="dxa"/>
              <w:bottom w:w="85" w:type="dxa"/>
              <w:end w:w="100" w:type="dxa"/>
            </w:tcMar>
            <w:shd w:fill="F1F6F8"/>
            <w:tcBorders>
              <w:bottom w:val="single" w:sz="3" w:color="D9E3E8"/>
            </w:tcBorders>
          </w:tcPr>
          <w:p>
            <w:pPr>
              <w:pStyle w:val="TableText"/>
            </w:pPr>
            <w:r/>
            <w:r>
              <w:rPr>
                <w:sz w:val="15"/>
              </w:rPr>
              <w:t>Observability</w:t>
            </w:r>
          </w:p>
        </w:tc>
        <w:tc>
          <w:tcPr>
            <w:tcW w:type="dxa" w:w="7172"/>
            <w:vAlign w:val="center"/>
            <w:tcMar>
              <w:top w:w="85" w:type="dxa"/>
              <w:start w:w="100" w:type="dxa"/>
              <w:bottom w:w="85" w:type="dxa"/>
              <w:end w:w="100" w:type="dxa"/>
            </w:tcMar>
            <w:shd w:fill="F1F6F8"/>
            <w:tcBorders>
              <w:bottom w:val="single" w:sz="3" w:color="D9E3E8"/>
            </w:tcBorders>
          </w:tcPr>
          <w:p>
            <w:pPr>
              <w:pStyle w:val="TableText"/>
            </w:pPr>
            <w:r/>
            <w:r>
              <w:rPr>
                <w:sz w:val="15"/>
              </w:rPr>
              <w:t>Structured logs, error reporting, feed freshness indicators, latency and risk gate counters.</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NFR-06</w:t>
            </w:r>
          </w:p>
        </w:tc>
        <w:tc>
          <w:tcPr>
            <w:tcW w:type="dxa" w:w="1474"/>
            <w:vAlign w:val="center"/>
            <w:tcMar>
              <w:top w:w="85" w:type="dxa"/>
              <w:start w:w="100" w:type="dxa"/>
              <w:bottom w:w="85" w:type="dxa"/>
              <w:end w:w="100" w:type="dxa"/>
            </w:tcMar>
            <w:tcBorders>
              <w:bottom w:val="single" w:sz="3" w:color="D9E3E8"/>
            </w:tcBorders>
          </w:tcPr>
          <w:p>
            <w:pPr>
              <w:pStyle w:val="TableText"/>
            </w:pPr>
            <w:r/>
            <w:r>
              <w:rPr>
                <w:sz w:val="15"/>
              </w:rPr>
              <w:t>Security</w:t>
            </w:r>
          </w:p>
        </w:tc>
        <w:tc>
          <w:tcPr>
            <w:tcW w:type="dxa" w:w="7172"/>
            <w:vAlign w:val="center"/>
            <w:tcMar>
              <w:top w:w="85" w:type="dxa"/>
              <w:start w:w="100" w:type="dxa"/>
              <w:bottom w:w="85" w:type="dxa"/>
              <w:end w:w="100" w:type="dxa"/>
            </w:tcMar>
            <w:tcBorders>
              <w:bottom w:val="single" w:sz="3" w:color="D9E3E8"/>
            </w:tcBorders>
          </w:tcPr>
          <w:p>
            <w:pPr>
              <w:pStyle w:val="TableText"/>
            </w:pPr>
            <w:r/>
            <w:r>
              <w:rPr>
                <w:sz w:val="15"/>
              </w:rPr>
              <w:t>Secrets never stored in repository; least privilege; protected configuration endpoints; encrypted transit.</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NFR-07</w:t>
            </w:r>
          </w:p>
        </w:tc>
        <w:tc>
          <w:tcPr>
            <w:tcW w:type="dxa" w:w="1474"/>
            <w:vAlign w:val="center"/>
            <w:tcMar>
              <w:top w:w="85" w:type="dxa"/>
              <w:start w:w="100" w:type="dxa"/>
              <w:bottom w:w="85" w:type="dxa"/>
              <w:end w:w="100" w:type="dxa"/>
            </w:tcMar>
            <w:shd w:fill="F1F6F8"/>
            <w:tcBorders>
              <w:bottom w:val="single" w:sz="3" w:color="D9E3E8"/>
            </w:tcBorders>
          </w:tcPr>
          <w:p>
            <w:pPr>
              <w:pStyle w:val="TableText"/>
            </w:pPr>
            <w:r/>
            <w:r>
              <w:rPr>
                <w:sz w:val="15"/>
              </w:rPr>
              <w:t>Testability</w:t>
            </w:r>
          </w:p>
        </w:tc>
        <w:tc>
          <w:tcPr>
            <w:tcW w:type="dxa" w:w="7172"/>
            <w:vAlign w:val="center"/>
            <w:tcMar>
              <w:top w:w="85" w:type="dxa"/>
              <w:start w:w="100" w:type="dxa"/>
              <w:bottom w:w="85" w:type="dxa"/>
              <w:end w:w="100" w:type="dxa"/>
            </w:tcMar>
            <w:shd w:fill="F1F6F8"/>
            <w:tcBorders>
              <w:bottom w:val="single" w:sz="3" w:color="D9E3E8"/>
            </w:tcBorders>
          </w:tcPr>
          <w:p>
            <w:pPr>
              <w:pStyle w:val="TableText"/>
            </w:pPr>
            <w:r/>
            <w:r>
              <w:rPr>
                <w:sz w:val="15"/>
              </w:rPr>
              <w:t>Unit and integration tests cover data, leakage, policy decisions, calculations and API contracts.</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NFR-08</w:t>
            </w:r>
          </w:p>
        </w:tc>
        <w:tc>
          <w:tcPr>
            <w:tcW w:type="dxa" w:w="1474"/>
            <w:vAlign w:val="center"/>
            <w:tcMar>
              <w:top w:w="85" w:type="dxa"/>
              <w:start w:w="100" w:type="dxa"/>
              <w:bottom w:w="85" w:type="dxa"/>
              <w:end w:w="100" w:type="dxa"/>
            </w:tcMar>
            <w:tcBorders>
              <w:bottom w:val="single" w:sz="3" w:color="D9E3E8"/>
            </w:tcBorders>
          </w:tcPr>
          <w:p>
            <w:pPr>
              <w:pStyle w:val="TableText"/>
            </w:pPr>
            <w:r/>
            <w:r>
              <w:rPr>
                <w:sz w:val="15"/>
              </w:rPr>
              <w:t>Maintainability</w:t>
            </w:r>
          </w:p>
        </w:tc>
        <w:tc>
          <w:tcPr>
            <w:tcW w:type="dxa" w:w="7172"/>
            <w:vAlign w:val="center"/>
            <w:tcMar>
              <w:top w:w="85" w:type="dxa"/>
              <w:start w:w="100" w:type="dxa"/>
              <w:bottom w:w="85" w:type="dxa"/>
              <w:end w:w="100" w:type="dxa"/>
            </w:tcMar>
            <w:tcBorders>
              <w:bottom w:val="single" w:sz="3" w:color="D9E3E8"/>
            </w:tcBorders>
          </w:tcPr>
          <w:p>
            <w:pPr>
              <w:pStyle w:val="TableText"/>
            </w:pPr>
            <w:r/>
            <w:r>
              <w:rPr>
                <w:sz w:val="15"/>
              </w:rPr>
              <w:t>Modular services, documented schemas, CI checks, versioned APIs and component ownership.</w:t>
            </w:r>
          </w:p>
        </w:tc>
      </w:tr>
      <w:tr>
        <w:trPr>
          <w:cantSplit/>
        </w:trPr>
        <w:tc>
          <w:tcPr>
            <w:tcW w:type="dxa" w:w="879"/>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NFR-09</w:t>
            </w:r>
          </w:p>
        </w:tc>
        <w:tc>
          <w:tcPr>
            <w:tcW w:type="dxa" w:w="1474"/>
            <w:vAlign w:val="center"/>
            <w:tcMar>
              <w:top w:w="85" w:type="dxa"/>
              <w:start w:w="100" w:type="dxa"/>
              <w:bottom w:w="85" w:type="dxa"/>
              <w:end w:w="100" w:type="dxa"/>
            </w:tcMar>
            <w:shd w:fill="F1F6F8"/>
            <w:tcBorders>
              <w:bottom w:val="single" w:sz="3" w:color="D9E3E8"/>
            </w:tcBorders>
          </w:tcPr>
          <w:p>
            <w:pPr>
              <w:pStyle w:val="TableText"/>
            </w:pPr>
            <w:r/>
            <w:r>
              <w:rPr>
                <w:sz w:val="15"/>
              </w:rPr>
              <w:t>Usability</w:t>
            </w:r>
          </w:p>
        </w:tc>
        <w:tc>
          <w:tcPr>
            <w:tcW w:type="dxa" w:w="7172"/>
            <w:vAlign w:val="center"/>
            <w:tcMar>
              <w:top w:w="85" w:type="dxa"/>
              <w:start w:w="100" w:type="dxa"/>
              <w:bottom w:w="85" w:type="dxa"/>
              <w:end w:w="100" w:type="dxa"/>
            </w:tcMar>
            <w:shd w:fill="F1F6F8"/>
            <w:tcBorders>
              <w:bottom w:val="single" w:sz="3" w:color="D9E3E8"/>
            </w:tcBorders>
          </w:tcPr>
          <w:p>
            <w:pPr>
              <w:pStyle w:val="TableText"/>
            </w:pPr>
            <w:r/>
            <w:r>
              <w:rPr>
                <w:sz w:val="15"/>
              </w:rPr>
              <w:t>Every action/No-trade record has a human-readable reason; UTC/local time clearly labeled.</w:t>
            </w:r>
          </w:p>
        </w:tc>
      </w:tr>
      <w:tr>
        <w:trPr>
          <w:cantSplit/>
        </w:trPr>
        <w:tc>
          <w:tcPr>
            <w:tcW w:type="dxa" w:w="879"/>
            <w:vAlign w:val="center"/>
            <w:tcMar>
              <w:top w:w="85" w:type="dxa"/>
              <w:start w:w="100" w:type="dxa"/>
              <w:bottom w:w="85" w:type="dxa"/>
              <w:end w:w="100" w:type="dxa"/>
            </w:tcMar>
            <w:tcBorders>
              <w:bottom w:val="single" w:sz="3" w:color="D9E3E8"/>
            </w:tcBorders>
          </w:tcPr>
          <w:p>
            <w:pPr>
              <w:pStyle w:val="TableText"/>
            </w:pPr>
            <w:r/>
            <w:r>
              <w:rPr>
                <w:b/>
                <w:color w:val="12263B"/>
                <w:sz w:val="15"/>
              </w:rPr>
              <w:t>NFR-10</w:t>
            </w:r>
          </w:p>
        </w:tc>
        <w:tc>
          <w:tcPr>
            <w:tcW w:type="dxa" w:w="1474"/>
            <w:vAlign w:val="center"/>
            <w:tcMar>
              <w:top w:w="85" w:type="dxa"/>
              <w:start w:w="100" w:type="dxa"/>
              <w:bottom w:w="85" w:type="dxa"/>
              <w:end w:w="100" w:type="dxa"/>
            </w:tcMar>
            <w:tcBorders>
              <w:bottom w:val="single" w:sz="3" w:color="D9E3E8"/>
            </w:tcBorders>
          </w:tcPr>
          <w:p>
            <w:pPr>
              <w:pStyle w:val="TableText"/>
            </w:pPr>
            <w:r/>
            <w:r>
              <w:rPr>
                <w:sz w:val="15"/>
              </w:rPr>
              <w:t>Cost discipline</w:t>
            </w:r>
          </w:p>
        </w:tc>
        <w:tc>
          <w:tcPr>
            <w:tcW w:type="dxa" w:w="7172"/>
            <w:vAlign w:val="center"/>
            <w:tcMar>
              <w:top w:w="85" w:type="dxa"/>
              <w:start w:w="100" w:type="dxa"/>
              <w:bottom w:w="85" w:type="dxa"/>
              <w:end w:w="100" w:type="dxa"/>
            </w:tcMar>
            <w:tcBorders>
              <w:bottom w:val="single" w:sz="3" w:color="D9E3E8"/>
            </w:tcBorders>
          </w:tcPr>
          <w:p>
            <w:pPr>
              <w:pStyle w:val="TableText"/>
            </w:pPr>
            <w:r/>
            <w:r>
              <w:rPr>
                <w:sz w:val="15"/>
              </w:rPr>
              <w:t>MVP operates on available laptop/CPU with predictable data/API costs; GPU optional.</w:t>
            </w:r>
          </w:p>
        </w:tc>
      </w:tr>
    </w:tbl>
    <w:p>
      <w:pPr>
        <w:spacing w:after="0"/>
      </w:pPr>
    </w:p>
    <w:p>
      <w:pPr>
        <w:pStyle w:val="Heading2"/>
      </w:pPr>
      <w:r>
        <w:t>Security &amp; governance boundaries</w:t>
      </w:r>
    </w:p>
    <w:p>
      <w:pPr>
        <w:spacing w:after="40"/>
        <w:ind w:left="238" w:hanging="159"/>
      </w:pPr>
      <w:r>
        <w:rPr>
          <w:b/>
          <w:i w:val="0"/>
          <w:color w:val="0A8995"/>
        </w:rPr>
        <w:t xml:space="preserve">•  </w:t>
      </w:r>
      <w:r>
        <w:rPr>
          <w:b w:val="0"/>
          <w:i w:val="0"/>
        </w:rPr>
        <w:t>Paper trading uses simulation credentials only; do not collect or store real exchange API keys in MVP.</w:t>
      </w:r>
    </w:p>
    <w:p>
      <w:pPr>
        <w:spacing w:after="40"/>
        <w:ind w:left="238" w:hanging="159"/>
      </w:pPr>
      <w:r>
        <w:rPr>
          <w:b/>
          <w:i w:val="0"/>
          <w:color w:val="0A8995"/>
        </w:rPr>
        <w:t xml:space="preserve">•  </w:t>
      </w:r>
      <w:r>
        <w:rPr>
          <w:b w:val="0"/>
          <w:i w:val="0"/>
        </w:rPr>
        <w:t>Where paid market/news datasets are used, obey source licensing and retention policies.</w:t>
      </w:r>
    </w:p>
    <w:p>
      <w:pPr>
        <w:spacing w:after="40"/>
        <w:ind w:left="238" w:hanging="159"/>
      </w:pPr>
      <w:r>
        <w:rPr>
          <w:b/>
          <w:i w:val="0"/>
          <w:color w:val="0A8995"/>
        </w:rPr>
        <w:t xml:space="preserve">•  </w:t>
      </w:r>
      <w:r>
        <w:rPr>
          <w:b w:val="0"/>
          <w:i w:val="0"/>
        </w:rPr>
        <w:t>Maintain a tamper-evident audit trail of strategy promotions, risk-policy changes and model versions.</w:t>
      </w:r>
    </w:p>
    <w:p>
      <w:pPr>
        <w:spacing w:after="40"/>
        <w:ind w:left="238" w:hanging="159"/>
      </w:pPr>
      <w:r>
        <w:rPr>
          <w:b/>
          <w:i w:val="0"/>
          <w:color w:val="0A8995"/>
        </w:rPr>
        <w:t xml:space="preserve">•  </w:t>
      </w:r>
      <w:r>
        <w:rPr>
          <w:b w:val="0"/>
          <w:i w:val="0"/>
        </w:rPr>
        <w:t>Treat news and LLM-generated summaries as untrusted inputs, not instructions for executing trades.</w:t>
      </w:r>
    </w:p>
    <w:p>
      <w:pPr>
        <w:spacing w:after="40"/>
        <w:ind w:left="238" w:hanging="159"/>
      </w:pPr>
      <w:r>
        <w:rPr>
          <w:b/>
          <w:i w:val="0"/>
          <w:color w:val="0A8995"/>
        </w:rPr>
        <w:t xml:space="preserve">•  </w:t>
      </w:r>
      <w:r>
        <w:rPr>
          <w:b w:val="0"/>
          <w:i w:val="0"/>
        </w:rPr>
        <w:t>Document market, exchange, geographic and product constraints before considering live execution.</w:t>
      </w:r>
    </w:p>
    <w:p>
      <w:pPr>
        <w:pStyle w:val="Heading2"/>
      </w:pPr>
      <w:r>
        <w:t>Operational health gates</w:t>
      </w:r>
    </w:p>
    <w:p>
      <w:r>
        <w:t>Ready = validated feeds, synchronized clocks, healthy feature service, loaded model/policy versions, reconciled paper ledger and active operator controls. Degraded = missing optional context with documented fallback. Halted = invalid critical data or breached safety control.</w:t>
      </w:r>
    </w:p>
    <w:p>
      <w:r>
        <w:br w:type="page"/>
      </w:r>
    </w:p>
    <w:p>
      <w:pPr>
        <w:pStyle w:val="Heading1"/>
      </w:pPr>
      <w:r>
        <w:t>10  Implementation roadmap &amp; acceptance</w:t>
      </w:r>
    </w:p>
    <w:tbl>
      <w:tblPr>
        <w:tblW w:type="auto" w:w="0"/>
        <w:jc w:val="center"/>
        <w:tblLayout w:type="fixed"/>
        <w:tblLook w:firstColumn="1" w:firstRow="1" w:lastColumn="0" w:lastRow="0" w:noHBand="0" w:noVBand="1" w:val="04A0"/>
      </w:tblPr>
      <w:tblGrid>
        <w:gridCol w:w="1389"/>
        <w:gridCol w:w="4592"/>
        <w:gridCol w:w="3543"/>
      </w:tblGrid>
      <w:tr>
        <w:trPr>
          <w:tblHeader w:val="true"/>
          <w:cantSplit/>
        </w:trPr>
        <w:tc>
          <w:tcPr>
            <w:tcW w:type="dxa" w:w="3194"/>
            <w:vAlign w:val="center"/>
            <w:shd w:fill="142B42"/>
            <w:tcMar>
              <w:top w:w="95" w:type="dxa"/>
              <w:start w:w="90" w:type="dxa"/>
              <w:bottom w:w="95" w:type="dxa"/>
              <w:end w:w="90" w:type="dxa"/>
            </w:tcMar>
          </w:tcPr>
          <w:p>
            <w:pPr>
              <w:pStyle w:val="TableText"/>
            </w:pPr>
            <w:r>
              <w:rPr>
                <w:b/>
                <w:color w:val="FFFFFF"/>
                <w:sz w:val="15"/>
              </w:rPr>
              <w:t>PHASE</w:t>
            </w:r>
          </w:p>
        </w:tc>
        <w:tc>
          <w:tcPr>
            <w:tcW w:type="dxa" w:w="3194"/>
            <w:vAlign w:val="center"/>
            <w:shd w:fill="142B42"/>
            <w:tcMar>
              <w:top w:w="95" w:type="dxa"/>
              <w:start w:w="90" w:type="dxa"/>
              <w:bottom w:w="95" w:type="dxa"/>
              <w:end w:w="90" w:type="dxa"/>
            </w:tcMar>
          </w:tcPr>
          <w:p>
            <w:pPr>
              <w:pStyle w:val="TableText"/>
            </w:pPr>
            <w:r>
              <w:rPr>
                <w:b/>
                <w:color w:val="FFFFFF"/>
                <w:sz w:val="15"/>
              </w:rPr>
              <w:t>DELIVERABLE</w:t>
            </w:r>
          </w:p>
        </w:tc>
        <w:tc>
          <w:tcPr>
            <w:tcW w:type="dxa" w:w="3194"/>
            <w:vAlign w:val="center"/>
            <w:shd w:fill="142B42"/>
            <w:tcMar>
              <w:top w:w="95" w:type="dxa"/>
              <w:start w:w="90" w:type="dxa"/>
              <w:bottom w:w="95" w:type="dxa"/>
              <w:end w:w="90" w:type="dxa"/>
            </w:tcMar>
          </w:tcPr>
          <w:p>
            <w:pPr>
              <w:pStyle w:val="TableText"/>
            </w:pPr>
            <w:r>
              <w:rPr>
                <w:b/>
                <w:color w:val="FFFFFF"/>
                <w:sz w:val="15"/>
              </w:rPr>
              <w:t>EXIT GATE</w:t>
            </w:r>
          </w:p>
        </w:tc>
      </w:tr>
      <w:tr>
        <w:trPr>
          <w:cantSplit/>
        </w:trPr>
        <w:tc>
          <w:tcPr>
            <w:tcW w:type="dxa" w:w="1389"/>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0  Foundation</w:t>
            </w:r>
          </w:p>
        </w:tc>
        <w:tc>
          <w:tcPr>
            <w:tcW w:type="dxa" w:w="4592"/>
            <w:vAlign w:val="center"/>
            <w:tcMar>
              <w:top w:w="85" w:type="dxa"/>
              <w:start w:w="100" w:type="dxa"/>
              <w:bottom w:w="85" w:type="dxa"/>
              <w:end w:w="100" w:type="dxa"/>
            </w:tcMar>
            <w:shd w:fill="F1F6F8"/>
            <w:tcBorders>
              <w:bottom w:val="single" w:sz="3" w:color="D9E3E8"/>
            </w:tcBorders>
          </w:tcPr>
          <w:p>
            <w:pPr>
              <w:pStyle w:val="TableText"/>
            </w:pPr>
            <w:r/>
            <w:r>
              <w:rPr>
                <w:sz w:val="16"/>
              </w:rPr>
              <w:t>Repository, config, schemas, source adapters, data validation and logging.</w:t>
            </w:r>
          </w:p>
        </w:tc>
        <w:tc>
          <w:tcPr>
            <w:tcW w:type="dxa" w:w="3543"/>
            <w:vAlign w:val="center"/>
            <w:tcMar>
              <w:top w:w="85" w:type="dxa"/>
              <w:start w:w="100" w:type="dxa"/>
              <w:bottom w:w="85" w:type="dxa"/>
              <w:end w:w="100" w:type="dxa"/>
            </w:tcMar>
            <w:shd w:fill="F1F6F8"/>
            <w:tcBorders>
              <w:bottom w:val="single" w:sz="3" w:color="D9E3E8"/>
            </w:tcBorders>
          </w:tcPr>
          <w:p>
            <w:pPr>
              <w:pStyle w:val="TableText"/>
            </w:pPr>
            <w:r/>
            <w:r>
              <w:rPr>
                <w:sz w:val="16"/>
              </w:rPr>
              <w:t>Reliable historical BTC ingestion and quality report.</w:t>
            </w:r>
          </w:p>
        </w:tc>
      </w:tr>
      <w:tr>
        <w:trPr>
          <w:cantSplit/>
        </w:trPr>
        <w:tc>
          <w:tcPr>
            <w:tcW w:type="dxa" w:w="1389"/>
            <w:vAlign w:val="center"/>
            <w:tcMar>
              <w:top w:w="85" w:type="dxa"/>
              <w:start w:w="100" w:type="dxa"/>
              <w:bottom w:w="85" w:type="dxa"/>
              <w:end w:w="100" w:type="dxa"/>
            </w:tcMar>
            <w:tcBorders>
              <w:bottom w:val="single" w:sz="3" w:color="D9E3E8"/>
            </w:tcBorders>
          </w:tcPr>
          <w:p>
            <w:pPr>
              <w:pStyle w:val="TableText"/>
            </w:pPr>
            <w:r/>
            <w:r>
              <w:rPr>
                <w:b/>
                <w:color w:val="12263B"/>
                <w:sz w:val="16"/>
              </w:rPr>
              <w:t>1  Research MVP</w:t>
            </w:r>
          </w:p>
        </w:tc>
        <w:tc>
          <w:tcPr>
            <w:tcW w:type="dxa" w:w="4592"/>
            <w:vAlign w:val="center"/>
            <w:tcMar>
              <w:top w:w="85" w:type="dxa"/>
              <w:start w:w="100" w:type="dxa"/>
              <w:bottom w:w="85" w:type="dxa"/>
              <w:end w:w="100" w:type="dxa"/>
            </w:tcMar>
            <w:tcBorders>
              <w:bottom w:val="single" w:sz="3" w:color="D9E3E8"/>
            </w:tcBorders>
          </w:tcPr>
          <w:p>
            <w:pPr>
              <w:pStyle w:val="TableText"/>
            </w:pPr>
            <w:r/>
            <w:r>
              <w:rPr>
                <w:sz w:val="16"/>
              </w:rPr>
              <w:t>Features, baseline ML, volatility/regime estimate, experiment tracking.</w:t>
            </w:r>
          </w:p>
        </w:tc>
        <w:tc>
          <w:tcPr>
            <w:tcW w:type="dxa" w:w="3543"/>
            <w:vAlign w:val="center"/>
            <w:tcMar>
              <w:top w:w="85" w:type="dxa"/>
              <w:start w:w="100" w:type="dxa"/>
              <w:bottom w:w="85" w:type="dxa"/>
              <w:end w:w="100" w:type="dxa"/>
            </w:tcMar>
            <w:tcBorders>
              <w:bottom w:val="single" w:sz="3" w:color="D9E3E8"/>
            </w:tcBorders>
          </w:tcPr>
          <w:p>
            <w:pPr>
              <w:pStyle w:val="TableText"/>
            </w:pPr>
            <w:r/>
            <w:r>
              <w:rPr>
                <w:sz w:val="16"/>
              </w:rPr>
              <w:t>Chronology-safe OOS baseline comparison.</w:t>
            </w:r>
          </w:p>
        </w:tc>
      </w:tr>
      <w:tr>
        <w:trPr>
          <w:cantSplit/>
        </w:trPr>
        <w:tc>
          <w:tcPr>
            <w:tcW w:type="dxa" w:w="1389"/>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2  Strategy lab</w:t>
            </w:r>
          </w:p>
        </w:tc>
        <w:tc>
          <w:tcPr>
            <w:tcW w:type="dxa" w:w="4592"/>
            <w:vAlign w:val="center"/>
            <w:tcMar>
              <w:top w:w="85" w:type="dxa"/>
              <w:start w:w="100" w:type="dxa"/>
              <w:bottom w:w="85" w:type="dxa"/>
              <w:end w:w="100" w:type="dxa"/>
            </w:tcMar>
            <w:shd w:fill="F1F6F8"/>
            <w:tcBorders>
              <w:bottom w:val="single" w:sz="3" w:color="D9E3E8"/>
            </w:tcBorders>
          </w:tcPr>
          <w:p>
            <w:pPr>
              <w:pStyle w:val="TableText"/>
            </w:pPr>
            <w:r/>
            <w:r>
              <w:rPr>
                <w:sz w:val="16"/>
              </w:rPr>
              <w:t>Decision/risk engine, realistic backtester, walk-forward and scenario tests.</w:t>
            </w:r>
          </w:p>
        </w:tc>
        <w:tc>
          <w:tcPr>
            <w:tcW w:type="dxa" w:w="3543"/>
            <w:vAlign w:val="center"/>
            <w:tcMar>
              <w:top w:w="85" w:type="dxa"/>
              <w:start w:w="100" w:type="dxa"/>
              <w:bottom w:w="85" w:type="dxa"/>
              <w:end w:w="100" w:type="dxa"/>
            </w:tcMar>
            <w:shd w:fill="F1F6F8"/>
            <w:tcBorders>
              <w:bottom w:val="single" w:sz="3" w:color="D9E3E8"/>
            </w:tcBorders>
          </w:tcPr>
          <w:p>
            <w:pPr>
              <w:pStyle w:val="TableText"/>
            </w:pPr>
            <w:r/>
            <w:r>
              <w:rPr>
                <w:sz w:val="16"/>
              </w:rPr>
              <w:t>All core risk and simulation test cases pass.</w:t>
            </w:r>
          </w:p>
        </w:tc>
      </w:tr>
      <w:tr>
        <w:trPr>
          <w:cantSplit/>
        </w:trPr>
        <w:tc>
          <w:tcPr>
            <w:tcW w:type="dxa" w:w="1389"/>
            <w:vAlign w:val="center"/>
            <w:tcMar>
              <w:top w:w="85" w:type="dxa"/>
              <w:start w:w="100" w:type="dxa"/>
              <w:bottom w:w="85" w:type="dxa"/>
              <w:end w:w="100" w:type="dxa"/>
            </w:tcMar>
            <w:tcBorders>
              <w:bottom w:val="single" w:sz="3" w:color="D9E3E8"/>
            </w:tcBorders>
          </w:tcPr>
          <w:p>
            <w:pPr>
              <w:pStyle w:val="TableText"/>
            </w:pPr>
            <w:r/>
            <w:r>
              <w:rPr>
                <w:b/>
                <w:color w:val="12263B"/>
                <w:sz w:val="16"/>
              </w:rPr>
              <w:t>3  Paper deployment</w:t>
            </w:r>
          </w:p>
        </w:tc>
        <w:tc>
          <w:tcPr>
            <w:tcW w:type="dxa" w:w="4592"/>
            <w:vAlign w:val="center"/>
            <w:tcMar>
              <w:top w:w="85" w:type="dxa"/>
              <w:start w:w="100" w:type="dxa"/>
              <w:bottom w:w="85" w:type="dxa"/>
              <w:end w:w="100" w:type="dxa"/>
            </w:tcMar>
            <w:tcBorders>
              <w:bottom w:val="single" w:sz="3" w:color="D9E3E8"/>
            </w:tcBorders>
          </w:tcPr>
          <w:p>
            <w:pPr>
              <w:pStyle w:val="TableText"/>
            </w:pPr>
            <w:r/>
            <w:r>
              <w:rPr>
                <w:sz w:val="16"/>
              </w:rPr>
              <w:t>Live feed polling, persistent virtual positions, API and first dashboard.</w:t>
            </w:r>
          </w:p>
        </w:tc>
        <w:tc>
          <w:tcPr>
            <w:tcW w:type="dxa" w:w="3543"/>
            <w:vAlign w:val="center"/>
            <w:tcMar>
              <w:top w:w="85" w:type="dxa"/>
              <w:start w:w="100" w:type="dxa"/>
              <w:bottom w:w="85" w:type="dxa"/>
              <w:end w:w="100" w:type="dxa"/>
            </w:tcMar>
            <w:tcBorders>
              <w:bottom w:val="single" w:sz="3" w:color="D9E3E8"/>
            </w:tcBorders>
          </w:tcPr>
          <w:p>
            <w:pPr>
              <w:pStyle w:val="TableText"/>
            </w:pPr>
            <w:r/>
            <w:r>
              <w:rPr>
                <w:sz w:val="16"/>
              </w:rPr>
              <w:t>Multi-session paper ledger reconciles after restart.</w:t>
            </w:r>
          </w:p>
        </w:tc>
      </w:tr>
      <w:tr>
        <w:trPr>
          <w:cantSplit/>
        </w:trPr>
        <w:tc>
          <w:tcPr>
            <w:tcW w:type="dxa" w:w="1389"/>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4  Intelligence+</w:t>
            </w:r>
          </w:p>
        </w:tc>
        <w:tc>
          <w:tcPr>
            <w:tcW w:type="dxa" w:w="4592"/>
            <w:vAlign w:val="center"/>
            <w:tcMar>
              <w:top w:w="85" w:type="dxa"/>
              <w:start w:w="100" w:type="dxa"/>
              <w:bottom w:w="85" w:type="dxa"/>
              <w:end w:w="100" w:type="dxa"/>
            </w:tcMar>
            <w:shd w:fill="F1F6F8"/>
            <w:tcBorders>
              <w:bottom w:val="single" w:sz="3" w:color="D9E3E8"/>
            </w:tcBorders>
          </w:tcPr>
          <w:p>
            <w:pPr>
              <w:pStyle w:val="TableText"/>
            </w:pPr>
            <w:r/>
            <w:r>
              <w:rPr>
                <w:sz w:val="16"/>
              </w:rPr>
              <w:t>Funding/OI/events/news, explanations and alerts.</w:t>
            </w:r>
          </w:p>
        </w:tc>
        <w:tc>
          <w:tcPr>
            <w:tcW w:type="dxa" w:w="3543"/>
            <w:vAlign w:val="center"/>
            <w:tcMar>
              <w:top w:w="85" w:type="dxa"/>
              <w:start w:w="100" w:type="dxa"/>
              <w:bottom w:w="85" w:type="dxa"/>
              <w:end w:w="100" w:type="dxa"/>
            </w:tcMar>
            <w:shd w:fill="F1F6F8"/>
            <w:tcBorders>
              <w:bottom w:val="single" w:sz="3" w:color="D9E3E8"/>
            </w:tcBorders>
          </w:tcPr>
          <w:p>
            <w:pPr>
              <w:pStyle w:val="TableText"/>
            </w:pPr>
            <w:r/>
            <w:r>
              <w:rPr>
                <w:sz w:val="16"/>
              </w:rPr>
              <w:t>Source timestamps validated; fallbacks tested.</w:t>
            </w:r>
          </w:p>
        </w:tc>
      </w:tr>
      <w:tr>
        <w:trPr>
          <w:cantSplit/>
        </w:trPr>
        <w:tc>
          <w:tcPr>
            <w:tcW w:type="dxa" w:w="1389"/>
            <w:vAlign w:val="center"/>
            <w:tcMar>
              <w:top w:w="85" w:type="dxa"/>
              <w:start w:w="100" w:type="dxa"/>
              <w:bottom w:w="85" w:type="dxa"/>
              <w:end w:w="100" w:type="dxa"/>
            </w:tcMar>
            <w:tcBorders>
              <w:bottom w:val="single" w:sz="3" w:color="D9E3E8"/>
            </w:tcBorders>
          </w:tcPr>
          <w:p>
            <w:pPr>
              <w:pStyle w:val="TableText"/>
            </w:pPr>
            <w:r/>
            <w:r>
              <w:rPr>
                <w:b/>
                <w:color w:val="12263B"/>
                <w:sz w:val="16"/>
              </w:rPr>
              <w:t>5  Advanced R&amp;D</w:t>
            </w:r>
          </w:p>
        </w:tc>
        <w:tc>
          <w:tcPr>
            <w:tcW w:type="dxa" w:w="4592"/>
            <w:vAlign w:val="center"/>
            <w:tcMar>
              <w:top w:w="85" w:type="dxa"/>
              <w:start w:w="100" w:type="dxa"/>
              <w:bottom w:w="85" w:type="dxa"/>
              <w:end w:w="100" w:type="dxa"/>
            </w:tcMar>
            <w:tcBorders>
              <w:bottom w:val="single" w:sz="3" w:color="D9E3E8"/>
            </w:tcBorders>
          </w:tcPr>
          <w:p>
            <w:pPr>
              <w:pStyle w:val="TableText"/>
            </w:pPr>
            <w:r/>
            <w:r>
              <w:rPr>
                <w:sz w:val="16"/>
              </w:rPr>
              <w:t>Isolated PPO experiments; independent trade execution review if desired.</w:t>
            </w:r>
          </w:p>
        </w:tc>
        <w:tc>
          <w:tcPr>
            <w:tcW w:type="dxa" w:w="3543"/>
            <w:vAlign w:val="center"/>
            <w:tcMar>
              <w:top w:w="85" w:type="dxa"/>
              <w:start w:w="100" w:type="dxa"/>
              <w:bottom w:w="85" w:type="dxa"/>
              <w:end w:w="100" w:type="dxa"/>
            </w:tcMar>
            <w:tcBorders>
              <w:bottom w:val="single" w:sz="3" w:color="D9E3E8"/>
            </w:tcBorders>
          </w:tcPr>
          <w:p>
            <w:pPr>
              <w:pStyle w:val="TableText"/>
            </w:pPr>
            <w:r/>
            <w:r>
              <w:rPr>
                <w:sz w:val="16"/>
              </w:rPr>
              <w:t>Documented incremental benefit and separate approval.</w:t>
            </w:r>
          </w:p>
        </w:tc>
      </w:tr>
    </w:tbl>
    <w:p>
      <w:pPr>
        <w:spacing w:after="0"/>
      </w:pPr>
    </w:p>
    <w:p>
      <w:pPr>
        <w:pStyle w:val="Heading2"/>
      </w:pPr>
      <w:r>
        <w:t>Minimum MVP acceptance checklist</w:t>
      </w:r>
    </w:p>
    <w:p>
      <w:pPr>
        <w:spacing w:after="40"/>
        <w:ind w:left="238" w:hanging="159"/>
      </w:pPr>
      <w:r>
        <w:rPr>
          <w:b/>
          <w:i w:val="0"/>
          <w:color w:val="0A8995"/>
        </w:rPr>
        <w:t xml:space="preserve">•  </w:t>
      </w:r>
      <w:r>
        <w:rPr>
          <w:b w:val="0"/>
          <w:i w:val="0"/>
        </w:rPr>
        <w:t>All P0 functional requirements (FR-01 through FR-12) tested and traceable.</w:t>
      </w:r>
    </w:p>
    <w:p>
      <w:pPr>
        <w:spacing w:after="40"/>
        <w:ind w:left="238" w:hanging="159"/>
      </w:pPr>
      <w:r>
        <w:rPr>
          <w:b/>
          <w:i w:val="0"/>
          <w:color w:val="0A8995"/>
        </w:rPr>
        <w:t xml:space="preserve">•  </w:t>
      </w:r>
      <w:r>
        <w:rPr>
          <w:b w:val="0"/>
          <w:i w:val="0"/>
        </w:rPr>
        <w:t>At least one leakage-tested, cost-aware walk-forward backtest with an inspectable baseline.</w:t>
      </w:r>
    </w:p>
    <w:p>
      <w:pPr>
        <w:spacing w:after="40"/>
        <w:ind w:left="238" w:hanging="159"/>
      </w:pPr>
      <w:r>
        <w:rPr>
          <w:b/>
          <w:i w:val="0"/>
          <w:color w:val="0A8995"/>
        </w:rPr>
        <w:t xml:space="preserve">•  </w:t>
      </w:r>
      <w:r>
        <w:rPr>
          <w:b w:val="0"/>
          <w:i w:val="0"/>
        </w:rPr>
        <w:t>Hard exposure and loss limits block unsafe candidate actions in deterministic test cases.</w:t>
      </w:r>
    </w:p>
    <w:p>
      <w:pPr>
        <w:spacing w:after="40"/>
        <w:ind w:left="238" w:hanging="159"/>
      </w:pPr>
      <w:r>
        <w:rPr>
          <w:b/>
          <w:i w:val="0"/>
          <w:color w:val="0A8995"/>
        </w:rPr>
        <w:t xml:space="preserve">•  </w:t>
      </w:r>
      <w:r>
        <w:rPr>
          <w:b w:val="0"/>
          <w:i w:val="0"/>
        </w:rPr>
        <w:t>No-trade action works when edge is weak, confidence insufficient, or feeds are stale.</w:t>
      </w:r>
    </w:p>
    <w:p>
      <w:pPr>
        <w:spacing w:after="40"/>
        <w:ind w:left="238" w:hanging="159"/>
      </w:pPr>
      <w:r>
        <w:rPr>
          <w:b/>
          <w:i w:val="0"/>
          <w:color w:val="0A8995"/>
        </w:rPr>
        <w:t xml:space="preserve">•  </w:t>
      </w:r>
      <w:r>
        <w:rPr>
          <w:b w:val="0"/>
          <w:i w:val="0"/>
        </w:rPr>
        <w:t>Paper fills, balances and P&amp;L are reconcilable to an append-only ledger.</w:t>
      </w:r>
    </w:p>
    <w:p>
      <w:pPr>
        <w:spacing w:after="40"/>
        <w:ind w:left="238" w:hanging="159"/>
      </w:pPr>
      <w:r>
        <w:rPr>
          <w:b/>
          <w:i w:val="0"/>
          <w:color w:val="0A8995"/>
        </w:rPr>
        <w:t xml:space="preserve">•  </w:t>
      </w:r>
      <w:r>
        <w:rPr>
          <w:b w:val="0"/>
          <w:i w:val="0"/>
        </w:rPr>
        <w:t>Dashboard shows data freshness, model/policy versions, current risk state and operator pause.</w:t>
      </w:r>
    </w:p>
    <w:p>
      <w:pPr>
        <w:pStyle w:val="Heading2"/>
      </w:pPr>
      <w:r>
        <w:t>Selected acceptance tests</w:t>
      </w:r>
    </w:p>
    <w:tbl>
      <w:tblPr>
        <w:tblW w:type="auto" w:w="0"/>
        <w:jc w:val="center"/>
        <w:tblLayout w:type="fixed"/>
        <w:tblLook w:firstColumn="1" w:firstRow="1" w:lastColumn="0" w:lastRow="0" w:noHBand="0" w:noVBand="1" w:val="04A0"/>
      </w:tblPr>
      <w:tblGrid>
        <w:gridCol w:w="2835"/>
        <w:gridCol w:w="6690"/>
      </w:tblGrid>
      <w:tr>
        <w:trPr>
          <w:tblHeader w:val="true"/>
          <w:cantSplit/>
        </w:trPr>
        <w:tc>
          <w:tcPr>
            <w:tcW w:type="dxa" w:w="4791"/>
            <w:vAlign w:val="center"/>
            <w:shd w:fill="142B42"/>
            <w:tcMar>
              <w:top w:w="95" w:type="dxa"/>
              <w:start w:w="90" w:type="dxa"/>
              <w:bottom w:w="95" w:type="dxa"/>
              <w:end w:w="90" w:type="dxa"/>
            </w:tcMar>
          </w:tcPr>
          <w:p>
            <w:pPr>
              <w:pStyle w:val="TableText"/>
            </w:pPr>
            <w:r>
              <w:rPr>
                <w:b/>
                <w:color w:val="FFFFFF"/>
                <w:sz w:val="15"/>
              </w:rPr>
              <w:t>TEST</w:t>
            </w:r>
          </w:p>
        </w:tc>
        <w:tc>
          <w:tcPr>
            <w:tcW w:type="dxa" w:w="4791"/>
            <w:vAlign w:val="center"/>
            <w:shd w:fill="142B42"/>
            <w:tcMar>
              <w:top w:w="95" w:type="dxa"/>
              <w:start w:w="90" w:type="dxa"/>
              <w:bottom w:w="95" w:type="dxa"/>
              <w:end w:w="90" w:type="dxa"/>
            </w:tcMar>
          </w:tcPr>
          <w:p>
            <w:pPr>
              <w:pStyle w:val="TableText"/>
            </w:pPr>
            <w:r>
              <w:rPr>
                <w:b/>
                <w:color w:val="FFFFFF"/>
                <w:sz w:val="15"/>
              </w:rPr>
              <w:t>EXPECTED RESULT</w:t>
            </w:r>
          </w:p>
        </w:tc>
      </w:tr>
      <w:tr>
        <w:trPr>
          <w:cantSplit/>
        </w:trPr>
        <w:tc>
          <w:tcPr>
            <w:tcW w:type="dxa" w:w="2835"/>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AT-01  Future-row injection</w:t>
            </w:r>
          </w:p>
        </w:tc>
        <w:tc>
          <w:tcPr>
            <w:tcW w:type="dxa" w:w="6690"/>
            <w:vAlign w:val="center"/>
            <w:tcMar>
              <w:top w:w="85" w:type="dxa"/>
              <w:start w:w="100" w:type="dxa"/>
              <w:bottom w:w="85" w:type="dxa"/>
              <w:end w:w="100" w:type="dxa"/>
            </w:tcMar>
            <w:shd w:fill="F1F6F8"/>
            <w:tcBorders>
              <w:bottom w:val="single" w:sz="3" w:color="D9E3E8"/>
            </w:tcBorders>
          </w:tcPr>
          <w:p>
            <w:pPr>
              <w:pStyle w:val="TableText"/>
            </w:pPr>
            <w:r/>
            <w:r>
              <w:rPr>
                <w:sz w:val="15"/>
              </w:rPr>
              <w:t>Changing prices after prediction cutoff does not change the earlier decision.</w:t>
            </w:r>
          </w:p>
        </w:tc>
      </w:tr>
      <w:tr>
        <w:trPr>
          <w:cantSplit/>
        </w:trPr>
        <w:tc>
          <w:tcPr>
            <w:tcW w:type="dxa" w:w="2835"/>
            <w:vAlign w:val="center"/>
            <w:tcMar>
              <w:top w:w="85" w:type="dxa"/>
              <w:start w:w="100" w:type="dxa"/>
              <w:bottom w:w="85" w:type="dxa"/>
              <w:end w:w="100" w:type="dxa"/>
            </w:tcMar>
            <w:tcBorders>
              <w:bottom w:val="single" w:sz="3" w:color="D9E3E8"/>
            </w:tcBorders>
          </w:tcPr>
          <w:p>
            <w:pPr>
              <w:pStyle w:val="TableText"/>
            </w:pPr>
            <w:r/>
            <w:r>
              <w:rPr>
                <w:b/>
                <w:color w:val="12263B"/>
                <w:sz w:val="15"/>
              </w:rPr>
              <w:t>AT-02  Risk limit breach</w:t>
            </w:r>
          </w:p>
        </w:tc>
        <w:tc>
          <w:tcPr>
            <w:tcW w:type="dxa" w:w="6690"/>
            <w:vAlign w:val="center"/>
            <w:tcMar>
              <w:top w:w="85" w:type="dxa"/>
              <w:start w:w="100" w:type="dxa"/>
              <w:bottom w:w="85" w:type="dxa"/>
              <w:end w:w="100" w:type="dxa"/>
            </w:tcMar>
            <w:tcBorders>
              <w:bottom w:val="single" w:sz="3" w:color="D9E3E8"/>
            </w:tcBorders>
          </w:tcPr>
          <w:p>
            <w:pPr>
              <w:pStyle w:val="TableText"/>
            </w:pPr>
            <w:r/>
            <w:r>
              <w:rPr>
                <w:sz w:val="15"/>
              </w:rPr>
              <w:t>Oversized long/short signal is rejected with explicit reason code.</w:t>
            </w:r>
          </w:p>
        </w:tc>
      </w:tr>
      <w:tr>
        <w:trPr>
          <w:cantSplit/>
        </w:trPr>
        <w:tc>
          <w:tcPr>
            <w:tcW w:type="dxa" w:w="2835"/>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AT-03  Increased trading costs</w:t>
            </w:r>
          </w:p>
        </w:tc>
        <w:tc>
          <w:tcPr>
            <w:tcW w:type="dxa" w:w="6690"/>
            <w:vAlign w:val="center"/>
            <w:tcMar>
              <w:top w:w="85" w:type="dxa"/>
              <w:start w:w="100" w:type="dxa"/>
              <w:bottom w:w="85" w:type="dxa"/>
              <w:end w:w="100" w:type="dxa"/>
            </w:tcMar>
            <w:shd w:fill="F1F6F8"/>
            <w:tcBorders>
              <w:bottom w:val="single" w:sz="3" w:color="D9E3E8"/>
            </w:tcBorders>
          </w:tcPr>
          <w:p>
            <w:pPr>
              <w:pStyle w:val="TableText"/>
            </w:pPr>
            <w:r/>
            <w:r>
              <w:rPr>
                <w:sz w:val="15"/>
              </w:rPr>
              <w:t>Cost threshold blocks formerly marginal opportunity; net metrics update.</w:t>
            </w:r>
          </w:p>
        </w:tc>
      </w:tr>
      <w:tr>
        <w:trPr>
          <w:cantSplit/>
        </w:trPr>
        <w:tc>
          <w:tcPr>
            <w:tcW w:type="dxa" w:w="2835"/>
            <w:vAlign w:val="center"/>
            <w:tcMar>
              <w:top w:w="85" w:type="dxa"/>
              <w:start w:w="100" w:type="dxa"/>
              <w:bottom w:w="85" w:type="dxa"/>
              <w:end w:w="100" w:type="dxa"/>
            </w:tcMar>
            <w:tcBorders>
              <w:bottom w:val="single" w:sz="3" w:color="D9E3E8"/>
            </w:tcBorders>
          </w:tcPr>
          <w:p>
            <w:pPr>
              <w:pStyle w:val="TableText"/>
            </w:pPr>
            <w:r/>
            <w:r>
              <w:rPr>
                <w:b/>
                <w:color w:val="12263B"/>
                <w:sz w:val="15"/>
              </w:rPr>
              <w:t>AT-04  Feed interruption</w:t>
            </w:r>
          </w:p>
        </w:tc>
        <w:tc>
          <w:tcPr>
            <w:tcW w:type="dxa" w:w="6690"/>
            <w:vAlign w:val="center"/>
            <w:tcMar>
              <w:top w:w="85" w:type="dxa"/>
              <w:start w:w="100" w:type="dxa"/>
              <w:bottom w:w="85" w:type="dxa"/>
              <w:end w:w="100" w:type="dxa"/>
            </w:tcMar>
            <w:tcBorders>
              <w:bottom w:val="single" w:sz="3" w:color="D9E3E8"/>
            </w:tcBorders>
          </w:tcPr>
          <w:p>
            <w:pPr>
              <w:pStyle w:val="TableText"/>
            </w:pPr>
            <w:r/>
            <w:r>
              <w:rPr>
                <w:sz w:val="15"/>
              </w:rPr>
              <w:t>Stale critical data triggers halt; no new simulated entries.</w:t>
            </w:r>
          </w:p>
        </w:tc>
      </w:tr>
      <w:tr>
        <w:trPr>
          <w:cantSplit/>
        </w:trPr>
        <w:tc>
          <w:tcPr>
            <w:tcW w:type="dxa" w:w="2835"/>
            <w:vAlign w:val="center"/>
            <w:tcMar>
              <w:top w:w="85" w:type="dxa"/>
              <w:start w:w="100" w:type="dxa"/>
              <w:bottom w:w="85" w:type="dxa"/>
              <w:end w:w="100" w:type="dxa"/>
            </w:tcMar>
            <w:shd w:fill="F1F6F8"/>
            <w:tcBorders>
              <w:bottom w:val="single" w:sz="3" w:color="D9E3E8"/>
            </w:tcBorders>
          </w:tcPr>
          <w:p>
            <w:pPr>
              <w:pStyle w:val="TableText"/>
            </w:pPr>
            <w:r/>
            <w:r>
              <w:rPr>
                <w:b/>
                <w:color w:val="12263B"/>
                <w:sz w:val="15"/>
              </w:rPr>
              <w:t>AT-05  Restart/replay</w:t>
            </w:r>
          </w:p>
        </w:tc>
        <w:tc>
          <w:tcPr>
            <w:tcW w:type="dxa" w:w="6690"/>
            <w:vAlign w:val="center"/>
            <w:tcMar>
              <w:top w:w="85" w:type="dxa"/>
              <w:start w:w="100" w:type="dxa"/>
              <w:bottom w:w="85" w:type="dxa"/>
              <w:end w:w="100" w:type="dxa"/>
            </w:tcMar>
            <w:shd w:fill="F1F6F8"/>
            <w:tcBorders>
              <w:bottom w:val="single" w:sz="3" w:color="D9E3E8"/>
            </w:tcBorders>
          </w:tcPr>
          <w:p>
            <w:pPr>
              <w:pStyle w:val="TableText"/>
            </w:pPr>
            <w:r/>
            <w:r>
              <w:rPr>
                <w:sz w:val="15"/>
              </w:rPr>
              <w:t>Paper portfolio recovers without duplicated fills or accounting drift.</w:t>
            </w:r>
          </w:p>
        </w:tc>
      </w:tr>
    </w:tbl>
    <w:p>
      <w:pPr>
        <w:spacing w:after="0"/>
      </w:pPr>
    </w:p>
    <w:p>
      <w:r>
        <w:br w:type="page"/>
      </w:r>
    </w:p>
    <w:p>
      <w:pPr>
        <w:pStyle w:val="Heading1"/>
      </w:pPr>
      <w:r>
        <w:t>11  Decisions, dependencies &amp; risk register</w:t>
      </w:r>
    </w:p>
    <w:p>
      <w:pPr>
        <w:pStyle w:val="Heading2"/>
      </w:pPr>
      <w:r>
        <w:t>Open decisions for the project owner</w:t>
      </w:r>
    </w:p>
    <w:tbl>
      <w:tblPr>
        <w:tblW w:type="auto" w:w="0"/>
        <w:jc w:val="center"/>
        <w:tblLayout w:type="fixed"/>
        <w:tblLook w:firstColumn="1" w:firstRow="1" w:lastColumn="0" w:lastRow="0" w:noHBand="0" w:noVBand="1" w:val="04A0"/>
      </w:tblPr>
      <w:tblGrid>
        <w:gridCol w:w="822"/>
        <w:gridCol w:w="4167"/>
        <w:gridCol w:w="4535"/>
      </w:tblGrid>
      <w:tr>
        <w:trPr>
          <w:tblHeader w:val="true"/>
          <w:cantSplit/>
        </w:trPr>
        <w:tc>
          <w:tcPr>
            <w:tcW w:type="dxa" w:w="3194"/>
            <w:vAlign w:val="center"/>
            <w:shd w:fill="142B42"/>
            <w:tcMar>
              <w:top w:w="95" w:type="dxa"/>
              <w:start w:w="90" w:type="dxa"/>
              <w:bottom w:w="95" w:type="dxa"/>
              <w:end w:w="90" w:type="dxa"/>
            </w:tcMar>
          </w:tcPr>
          <w:p>
            <w:pPr>
              <w:pStyle w:val="TableText"/>
            </w:pPr>
            <w:r>
              <w:rPr>
                <w:b/>
                <w:color w:val="FFFFFF"/>
                <w:sz w:val="15"/>
              </w:rPr>
              <w:t>REF</w:t>
            </w:r>
          </w:p>
        </w:tc>
        <w:tc>
          <w:tcPr>
            <w:tcW w:type="dxa" w:w="3194"/>
            <w:vAlign w:val="center"/>
            <w:shd w:fill="142B42"/>
            <w:tcMar>
              <w:top w:w="95" w:type="dxa"/>
              <w:start w:w="90" w:type="dxa"/>
              <w:bottom w:w="95" w:type="dxa"/>
              <w:end w:w="90" w:type="dxa"/>
            </w:tcMar>
          </w:tcPr>
          <w:p>
            <w:pPr>
              <w:pStyle w:val="TableText"/>
            </w:pPr>
            <w:r>
              <w:rPr>
                <w:b/>
                <w:color w:val="FFFFFF"/>
                <w:sz w:val="15"/>
              </w:rPr>
              <w:t>DECISION REQUIRED</w:t>
            </w:r>
          </w:p>
        </w:tc>
        <w:tc>
          <w:tcPr>
            <w:tcW w:type="dxa" w:w="3194"/>
            <w:vAlign w:val="center"/>
            <w:shd w:fill="142B42"/>
            <w:tcMar>
              <w:top w:w="95" w:type="dxa"/>
              <w:start w:w="90" w:type="dxa"/>
              <w:bottom w:w="95" w:type="dxa"/>
              <w:end w:w="90" w:type="dxa"/>
            </w:tcMar>
          </w:tcPr>
          <w:p>
            <w:pPr>
              <w:pStyle w:val="TableText"/>
            </w:pPr>
            <w:r>
              <w:rPr>
                <w:b/>
                <w:color w:val="FFFFFF"/>
                <w:sz w:val="15"/>
              </w:rPr>
              <w:t>PROPOSED DEFAULT PENDING CONFIRMATION</w:t>
            </w:r>
          </w:p>
        </w:tc>
      </w:tr>
      <w:tr>
        <w:trPr>
          <w:cantSplit/>
        </w:trPr>
        <w:tc>
          <w:tcPr>
            <w:tcW w:type="dxa" w:w="822"/>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D-01</w:t>
            </w:r>
          </w:p>
        </w:tc>
        <w:tc>
          <w:tcPr>
            <w:tcW w:type="dxa" w:w="4167"/>
            <w:vAlign w:val="center"/>
            <w:tcMar>
              <w:top w:w="85" w:type="dxa"/>
              <w:start w:w="100" w:type="dxa"/>
              <w:bottom w:w="85" w:type="dxa"/>
              <w:end w:w="100" w:type="dxa"/>
            </w:tcMar>
            <w:shd w:fill="F1F6F8"/>
            <w:tcBorders>
              <w:bottom w:val="single" w:sz="3" w:color="D9E3E8"/>
            </w:tcBorders>
          </w:tcPr>
          <w:p>
            <w:pPr>
              <w:pStyle w:val="TableText"/>
            </w:pPr>
            <w:r/>
            <w:r>
              <w:rPr>
                <w:sz w:val="16"/>
              </w:rPr>
              <w:t>Spot BTC versus perpetual futures?</w:t>
            </w:r>
          </w:p>
        </w:tc>
        <w:tc>
          <w:tcPr>
            <w:tcW w:type="dxa" w:w="4535"/>
            <w:vAlign w:val="center"/>
            <w:tcMar>
              <w:top w:w="85" w:type="dxa"/>
              <w:start w:w="100" w:type="dxa"/>
              <w:bottom w:w="85" w:type="dxa"/>
              <w:end w:w="100" w:type="dxa"/>
            </w:tcMar>
            <w:shd w:fill="F1F6F8"/>
            <w:tcBorders>
              <w:bottom w:val="single" w:sz="3" w:color="D9E3E8"/>
            </w:tcBorders>
          </w:tcPr>
          <w:p>
            <w:pPr>
              <w:pStyle w:val="TableText"/>
            </w:pPr>
            <w:r/>
            <w:r>
              <w:rPr>
                <w:sz w:val="16"/>
              </w:rPr>
              <w:t>Paper simulation first; model shorts only if instrument supports it.</w:t>
            </w:r>
          </w:p>
        </w:tc>
      </w:tr>
      <w:tr>
        <w:trPr>
          <w:cantSplit/>
        </w:trPr>
        <w:tc>
          <w:tcPr>
            <w:tcW w:type="dxa" w:w="822"/>
            <w:vAlign w:val="center"/>
            <w:tcMar>
              <w:top w:w="85" w:type="dxa"/>
              <w:start w:w="100" w:type="dxa"/>
              <w:bottom w:w="85" w:type="dxa"/>
              <w:end w:w="100" w:type="dxa"/>
            </w:tcMar>
            <w:tcBorders>
              <w:bottom w:val="single" w:sz="3" w:color="D9E3E8"/>
            </w:tcBorders>
          </w:tcPr>
          <w:p>
            <w:pPr>
              <w:pStyle w:val="TableText"/>
            </w:pPr>
            <w:r/>
            <w:r>
              <w:rPr>
                <w:b/>
                <w:color w:val="12263B"/>
                <w:sz w:val="16"/>
              </w:rPr>
              <w:t>D-02</w:t>
            </w:r>
          </w:p>
        </w:tc>
        <w:tc>
          <w:tcPr>
            <w:tcW w:type="dxa" w:w="4167"/>
            <w:vAlign w:val="center"/>
            <w:tcMar>
              <w:top w:w="85" w:type="dxa"/>
              <w:start w:w="100" w:type="dxa"/>
              <w:bottom w:w="85" w:type="dxa"/>
              <w:end w:w="100" w:type="dxa"/>
            </w:tcMar>
            <w:tcBorders>
              <w:bottom w:val="single" w:sz="3" w:color="D9E3E8"/>
            </w:tcBorders>
          </w:tcPr>
          <w:p>
            <w:pPr>
              <w:pStyle w:val="TableText"/>
            </w:pPr>
            <w:r/>
            <w:r>
              <w:rPr>
                <w:sz w:val="16"/>
              </w:rPr>
              <w:t>Primary venue and market pair?</w:t>
            </w:r>
          </w:p>
        </w:tc>
        <w:tc>
          <w:tcPr>
            <w:tcW w:type="dxa" w:w="4535"/>
            <w:vAlign w:val="center"/>
            <w:tcMar>
              <w:top w:w="85" w:type="dxa"/>
              <w:start w:w="100" w:type="dxa"/>
              <w:bottom w:w="85" w:type="dxa"/>
              <w:end w:w="100" w:type="dxa"/>
            </w:tcMar>
            <w:tcBorders>
              <w:bottom w:val="single" w:sz="3" w:color="D9E3E8"/>
            </w:tcBorders>
          </w:tcPr>
          <w:p>
            <w:pPr>
              <w:pStyle w:val="TableText"/>
            </w:pPr>
            <w:r/>
            <w:r>
              <w:rPr>
                <w:sz w:val="16"/>
              </w:rPr>
              <w:t>One liquid BTC/USD or BTC/USDT venue, to be selected.</w:t>
            </w:r>
          </w:p>
        </w:tc>
      </w:tr>
      <w:tr>
        <w:trPr>
          <w:cantSplit/>
        </w:trPr>
        <w:tc>
          <w:tcPr>
            <w:tcW w:type="dxa" w:w="822"/>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D-03</w:t>
            </w:r>
          </w:p>
        </w:tc>
        <w:tc>
          <w:tcPr>
            <w:tcW w:type="dxa" w:w="4167"/>
            <w:vAlign w:val="center"/>
            <w:tcMar>
              <w:top w:w="85" w:type="dxa"/>
              <w:start w:w="100" w:type="dxa"/>
              <w:bottom w:w="85" w:type="dxa"/>
              <w:end w:w="100" w:type="dxa"/>
            </w:tcMar>
            <w:shd w:fill="F1F6F8"/>
            <w:tcBorders>
              <w:bottom w:val="single" w:sz="3" w:color="D9E3E8"/>
            </w:tcBorders>
          </w:tcPr>
          <w:p>
            <w:pPr>
              <w:pStyle w:val="TableText"/>
            </w:pPr>
            <w:r/>
            <w:r>
              <w:rPr>
                <w:sz w:val="16"/>
              </w:rPr>
              <w:t>Primary bar interval and forecast horizons?</w:t>
            </w:r>
          </w:p>
        </w:tc>
        <w:tc>
          <w:tcPr>
            <w:tcW w:type="dxa" w:w="4535"/>
            <w:vAlign w:val="center"/>
            <w:tcMar>
              <w:top w:w="85" w:type="dxa"/>
              <w:start w:w="100" w:type="dxa"/>
              <w:bottom w:w="85" w:type="dxa"/>
              <w:end w:w="100" w:type="dxa"/>
            </w:tcMar>
            <w:shd w:fill="F1F6F8"/>
            <w:tcBorders>
              <w:bottom w:val="single" w:sz="3" w:color="D9E3E8"/>
            </w:tcBorders>
          </w:tcPr>
          <w:p>
            <w:pPr>
              <w:pStyle w:val="TableText"/>
            </w:pPr>
            <w:r/>
            <w:r>
              <w:rPr>
                <w:sz w:val="16"/>
              </w:rPr>
              <w:t>Test 1m/5m sources aggregated to 15m+ decision horizons.</w:t>
            </w:r>
          </w:p>
        </w:tc>
      </w:tr>
      <w:tr>
        <w:trPr>
          <w:cantSplit/>
        </w:trPr>
        <w:tc>
          <w:tcPr>
            <w:tcW w:type="dxa" w:w="822"/>
            <w:vAlign w:val="center"/>
            <w:tcMar>
              <w:top w:w="85" w:type="dxa"/>
              <w:start w:w="100" w:type="dxa"/>
              <w:bottom w:w="85" w:type="dxa"/>
              <w:end w:w="100" w:type="dxa"/>
            </w:tcMar>
            <w:tcBorders>
              <w:bottom w:val="single" w:sz="3" w:color="D9E3E8"/>
            </w:tcBorders>
          </w:tcPr>
          <w:p>
            <w:pPr>
              <w:pStyle w:val="TableText"/>
            </w:pPr>
            <w:r/>
            <w:r>
              <w:rPr>
                <w:b/>
                <w:color w:val="12263B"/>
                <w:sz w:val="16"/>
              </w:rPr>
              <w:t>D-04</w:t>
            </w:r>
          </w:p>
        </w:tc>
        <w:tc>
          <w:tcPr>
            <w:tcW w:type="dxa" w:w="4167"/>
            <w:vAlign w:val="center"/>
            <w:tcMar>
              <w:top w:w="85" w:type="dxa"/>
              <w:start w:w="100" w:type="dxa"/>
              <w:bottom w:w="85" w:type="dxa"/>
              <w:end w:w="100" w:type="dxa"/>
            </w:tcMar>
            <w:tcBorders>
              <w:bottom w:val="single" w:sz="3" w:color="D9E3E8"/>
            </w:tcBorders>
          </w:tcPr>
          <w:p>
            <w:pPr>
              <w:pStyle w:val="TableText"/>
            </w:pPr>
            <w:r/>
            <w:r>
              <w:rPr>
                <w:sz w:val="16"/>
              </w:rPr>
              <w:t>Maximum exposure, stop and daily loss rules?</w:t>
            </w:r>
          </w:p>
        </w:tc>
        <w:tc>
          <w:tcPr>
            <w:tcW w:type="dxa" w:w="4535"/>
            <w:vAlign w:val="center"/>
            <w:tcMar>
              <w:top w:w="85" w:type="dxa"/>
              <w:start w:w="100" w:type="dxa"/>
              <w:bottom w:w="85" w:type="dxa"/>
              <w:end w:w="100" w:type="dxa"/>
            </w:tcMar>
            <w:tcBorders>
              <w:bottom w:val="single" w:sz="3" w:color="D9E3E8"/>
            </w:tcBorders>
          </w:tcPr>
          <w:p>
            <w:pPr>
              <w:pStyle w:val="TableText"/>
            </w:pPr>
            <w:r/>
            <w:r>
              <w:rPr>
                <w:sz w:val="16"/>
              </w:rPr>
              <w:t>Configurable settings; thresholds require owner approval.</w:t>
            </w:r>
          </w:p>
        </w:tc>
      </w:tr>
      <w:tr>
        <w:trPr>
          <w:cantSplit/>
        </w:trPr>
        <w:tc>
          <w:tcPr>
            <w:tcW w:type="dxa" w:w="822"/>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D-05</w:t>
            </w:r>
          </w:p>
        </w:tc>
        <w:tc>
          <w:tcPr>
            <w:tcW w:type="dxa" w:w="4167"/>
            <w:vAlign w:val="center"/>
            <w:tcMar>
              <w:top w:w="85" w:type="dxa"/>
              <w:start w:w="100" w:type="dxa"/>
              <w:bottom w:w="85" w:type="dxa"/>
              <w:end w:w="100" w:type="dxa"/>
            </w:tcMar>
            <w:shd w:fill="F1F6F8"/>
            <w:tcBorders>
              <w:bottom w:val="single" w:sz="3" w:color="D9E3E8"/>
            </w:tcBorders>
          </w:tcPr>
          <w:p>
            <w:pPr>
              <w:pStyle w:val="TableText"/>
            </w:pPr>
            <w:r/>
            <w:r>
              <w:rPr>
                <w:sz w:val="16"/>
              </w:rPr>
              <w:t>Accepted data/news providers and API budget?</w:t>
            </w:r>
          </w:p>
        </w:tc>
        <w:tc>
          <w:tcPr>
            <w:tcW w:type="dxa" w:w="4535"/>
            <w:vAlign w:val="center"/>
            <w:tcMar>
              <w:top w:w="85" w:type="dxa"/>
              <w:start w:w="100" w:type="dxa"/>
              <w:bottom w:w="85" w:type="dxa"/>
              <w:end w:w="100" w:type="dxa"/>
            </w:tcMar>
            <w:shd w:fill="F1F6F8"/>
            <w:tcBorders>
              <w:bottom w:val="single" w:sz="3" w:color="D9E3E8"/>
            </w:tcBorders>
          </w:tcPr>
          <w:p>
            <w:pPr>
              <w:pStyle w:val="TableText"/>
            </w:pPr>
            <w:r/>
            <w:r>
              <w:rPr>
                <w:sz w:val="16"/>
              </w:rPr>
              <w:t>Public historical sources for MVP; licensed feeds only as needed.</w:t>
            </w:r>
          </w:p>
        </w:tc>
      </w:tr>
      <w:tr>
        <w:trPr>
          <w:cantSplit/>
        </w:trPr>
        <w:tc>
          <w:tcPr>
            <w:tcW w:type="dxa" w:w="822"/>
            <w:vAlign w:val="center"/>
            <w:tcMar>
              <w:top w:w="85" w:type="dxa"/>
              <w:start w:w="100" w:type="dxa"/>
              <w:bottom w:w="85" w:type="dxa"/>
              <w:end w:w="100" w:type="dxa"/>
            </w:tcMar>
            <w:tcBorders>
              <w:bottom w:val="single" w:sz="3" w:color="D9E3E8"/>
            </w:tcBorders>
          </w:tcPr>
          <w:p>
            <w:pPr>
              <w:pStyle w:val="TableText"/>
            </w:pPr>
            <w:r/>
            <w:r>
              <w:rPr>
                <w:b/>
                <w:color w:val="12263B"/>
                <w:sz w:val="16"/>
              </w:rPr>
              <w:t>D-06</w:t>
            </w:r>
          </w:p>
        </w:tc>
        <w:tc>
          <w:tcPr>
            <w:tcW w:type="dxa" w:w="4167"/>
            <w:vAlign w:val="center"/>
            <w:tcMar>
              <w:top w:w="85" w:type="dxa"/>
              <w:start w:w="100" w:type="dxa"/>
              <w:bottom w:w="85" w:type="dxa"/>
              <w:end w:w="100" w:type="dxa"/>
            </w:tcMar>
            <w:tcBorders>
              <w:bottom w:val="single" w:sz="3" w:color="D9E3E8"/>
            </w:tcBorders>
          </w:tcPr>
          <w:p>
            <w:pPr>
              <w:pStyle w:val="TableText"/>
            </w:pPr>
            <w:r/>
            <w:r>
              <w:rPr>
                <w:sz w:val="16"/>
              </w:rPr>
              <w:t>Frontend and hosting choice?</w:t>
            </w:r>
          </w:p>
        </w:tc>
        <w:tc>
          <w:tcPr>
            <w:tcW w:type="dxa" w:w="4535"/>
            <w:vAlign w:val="center"/>
            <w:tcMar>
              <w:top w:w="85" w:type="dxa"/>
              <w:start w:w="100" w:type="dxa"/>
              <w:bottom w:w="85" w:type="dxa"/>
              <w:end w:w="100" w:type="dxa"/>
            </w:tcMar>
            <w:tcBorders>
              <w:bottom w:val="single" w:sz="3" w:color="D9E3E8"/>
            </w:tcBorders>
          </w:tcPr>
          <w:p>
            <w:pPr>
              <w:pStyle w:val="TableText"/>
            </w:pPr>
            <w:r/>
            <w:r>
              <w:rPr>
                <w:sz w:val="16"/>
              </w:rPr>
              <w:t>Local-first web dashboard; container deployment later.</w:t>
            </w:r>
          </w:p>
        </w:tc>
      </w:tr>
      <w:tr>
        <w:trPr>
          <w:cantSplit/>
        </w:trPr>
        <w:tc>
          <w:tcPr>
            <w:tcW w:type="dxa" w:w="822"/>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D-07</w:t>
            </w:r>
          </w:p>
        </w:tc>
        <w:tc>
          <w:tcPr>
            <w:tcW w:type="dxa" w:w="4167"/>
            <w:vAlign w:val="center"/>
            <w:tcMar>
              <w:top w:w="85" w:type="dxa"/>
              <w:start w:w="100" w:type="dxa"/>
              <w:bottom w:w="85" w:type="dxa"/>
              <w:end w:w="100" w:type="dxa"/>
            </w:tcMar>
            <w:shd w:fill="F1F6F8"/>
            <w:tcBorders>
              <w:bottom w:val="single" w:sz="3" w:color="D9E3E8"/>
            </w:tcBorders>
          </w:tcPr>
          <w:p>
            <w:pPr>
              <w:pStyle w:val="TableText"/>
            </w:pPr>
            <w:r/>
            <w:r>
              <w:rPr>
                <w:sz w:val="16"/>
              </w:rPr>
              <w:t>Model-selection / promotion criteria?</w:t>
            </w:r>
          </w:p>
        </w:tc>
        <w:tc>
          <w:tcPr>
            <w:tcW w:type="dxa" w:w="4535"/>
            <w:vAlign w:val="center"/>
            <w:tcMar>
              <w:top w:w="85" w:type="dxa"/>
              <w:start w:w="100" w:type="dxa"/>
              <w:bottom w:w="85" w:type="dxa"/>
              <w:end w:w="100" w:type="dxa"/>
            </w:tcMar>
            <w:shd w:fill="F1F6F8"/>
            <w:tcBorders>
              <w:bottom w:val="single" w:sz="3" w:color="D9E3E8"/>
            </w:tcBorders>
          </w:tcPr>
          <w:p>
            <w:pPr>
              <w:pStyle w:val="TableText"/>
            </w:pPr>
            <w:r/>
            <w:r>
              <w:rPr>
                <w:sz w:val="16"/>
              </w:rPr>
              <w:t>OOS improvement after costs + robust safety and regime tests.</w:t>
            </w:r>
          </w:p>
        </w:tc>
      </w:tr>
    </w:tbl>
    <w:p>
      <w:pPr>
        <w:spacing w:after="0"/>
      </w:pPr>
    </w:p>
    <w:p>
      <w:pPr>
        <w:pStyle w:val="Heading2"/>
      </w:pPr>
      <w:r>
        <w:t>Principal risks and mitigations</w:t>
      </w:r>
    </w:p>
    <w:tbl>
      <w:tblPr>
        <w:tblW w:type="auto" w:w="0"/>
        <w:jc w:val="center"/>
        <w:tblLayout w:type="fixed"/>
        <w:tblLook w:firstColumn="1" w:firstRow="1" w:lastColumn="0" w:lastRow="0" w:noHBand="0" w:noVBand="1" w:val="04A0"/>
      </w:tblPr>
      <w:tblGrid>
        <w:gridCol w:w="2268"/>
        <w:gridCol w:w="2891"/>
        <w:gridCol w:w="4365"/>
      </w:tblGrid>
      <w:tr>
        <w:trPr>
          <w:tblHeader w:val="true"/>
          <w:cantSplit/>
        </w:trPr>
        <w:tc>
          <w:tcPr>
            <w:tcW w:type="dxa" w:w="3194"/>
            <w:vAlign w:val="center"/>
            <w:shd w:fill="142B42"/>
            <w:tcMar>
              <w:top w:w="95" w:type="dxa"/>
              <w:start w:w="90" w:type="dxa"/>
              <w:bottom w:w="95" w:type="dxa"/>
              <w:end w:w="90" w:type="dxa"/>
            </w:tcMar>
          </w:tcPr>
          <w:p>
            <w:pPr>
              <w:pStyle w:val="TableText"/>
            </w:pPr>
            <w:r>
              <w:rPr>
                <w:b/>
                <w:color w:val="FFFFFF"/>
                <w:sz w:val="15"/>
              </w:rPr>
              <w:t>RISK</w:t>
            </w:r>
          </w:p>
        </w:tc>
        <w:tc>
          <w:tcPr>
            <w:tcW w:type="dxa" w:w="3194"/>
            <w:vAlign w:val="center"/>
            <w:shd w:fill="142B42"/>
            <w:tcMar>
              <w:top w:w="95" w:type="dxa"/>
              <w:start w:w="90" w:type="dxa"/>
              <w:bottom w:w="95" w:type="dxa"/>
              <w:end w:w="90" w:type="dxa"/>
            </w:tcMar>
          </w:tcPr>
          <w:p>
            <w:pPr>
              <w:pStyle w:val="TableText"/>
            </w:pPr>
            <w:r>
              <w:rPr>
                <w:b/>
                <w:color w:val="FFFFFF"/>
                <w:sz w:val="15"/>
              </w:rPr>
              <w:t>POTENTIAL IMPACT</w:t>
            </w:r>
          </w:p>
        </w:tc>
        <w:tc>
          <w:tcPr>
            <w:tcW w:type="dxa" w:w="3194"/>
            <w:vAlign w:val="center"/>
            <w:shd w:fill="142B42"/>
            <w:tcMar>
              <w:top w:w="95" w:type="dxa"/>
              <w:start w:w="90" w:type="dxa"/>
              <w:bottom w:w="95" w:type="dxa"/>
              <w:end w:w="90" w:type="dxa"/>
            </w:tcMar>
          </w:tcPr>
          <w:p>
            <w:pPr>
              <w:pStyle w:val="TableText"/>
            </w:pPr>
            <w:r>
              <w:rPr>
                <w:b/>
                <w:color w:val="FFFFFF"/>
                <w:sz w:val="15"/>
              </w:rPr>
              <w:t>MITIGATION</w:t>
            </w:r>
          </w:p>
        </w:tc>
      </w:tr>
      <w:tr>
        <w:trPr>
          <w:cantSplit/>
        </w:trPr>
        <w:tc>
          <w:tcPr>
            <w:tcW w:type="dxa" w:w="2268"/>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Overfitting / look-ahead bias</w:t>
            </w:r>
          </w:p>
        </w:tc>
        <w:tc>
          <w:tcPr>
            <w:tcW w:type="dxa" w:w="2891"/>
            <w:vAlign w:val="center"/>
            <w:tcMar>
              <w:top w:w="85" w:type="dxa"/>
              <w:start w:w="100" w:type="dxa"/>
              <w:bottom w:w="85" w:type="dxa"/>
              <w:end w:w="100" w:type="dxa"/>
            </w:tcMar>
            <w:shd w:fill="F1F6F8"/>
            <w:tcBorders>
              <w:bottom w:val="single" w:sz="3" w:color="D9E3E8"/>
            </w:tcBorders>
          </w:tcPr>
          <w:p>
            <w:pPr>
              <w:pStyle w:val="TableText"/>
            </w:pPr>
            <w:r/>
            <w:r>
              <w:rPr>
                <w:sz w:val="16"/>
              </w:rPr>
              <w:t>Historical results fail in paper/live conditions.</w:t>
            </w:r>
          </w:p>
        </w:tc>
        <w:tc>
          <w:tcPr>
            <w:tcW w:type="dxa" w:w="4365"/>
            <w:vAlign w:val="center"/>
            <w:tcMar>
              <w:top w:w="85" w:type="dxa"/>
              <w:start w:w="100" w:type="dxa"/>
              <w:bottom w:w="85" w:type="dxa"/>
              <w:end w:w="100" w:type="dxa"/>
            </w:tcMar>
            <w:shd w:fill="F1F6F8"/>
            <w:tcBorders>
              <w:bottom w:val="single" w:sz="3" w:color="D9E3E8"/>
            </w:tcBorders>
          </w:tcPr>
          <w:p>
            <w:pPr>
              <w:pStyle w:val="TableText"/>
            </w:pPr>
            <w:r/>
            <w:r>
              <w:rPr>
                <w:sz w:val="16"/>
              </w:rPr>
              <w:t>Walk-forward, leakage tests, baselines, unseen regimes.</w:t>
            </w:r>
          </w:p>
        </w:tc>
      </w:tr>
      <w:tr>
        <w:trPr>
          <w:cantSplit/>
        </w:trPr>
        <w:tc>
          <w:tcPr>
            <w:tcW w:type="dxa" w:w="2268"/>
            <w:vAlign w:val="center"/>
            <w:tcMar>
              <w:top w:w="85" w:type="dxa"/>
              <w:start w:w="100" w:type="dxa"/>
              <w:bottom w:w="85" w:type="dxa"/>
              <w:end w:w="100" w:type="dxa"/>
            </w:tcMar>
            <w:tcBorders>
              <w:bottom w:val="single" w:sz="3" w:color="D9E3E8"/>
            </w:tcBorders>
          </w:tcPr>
          <w:p>
            <w:pPr>
              <w:pStyle w:val="TableText"/>
            </w:pPr>
            <w:r/>
            <w:r>
              <w:rPr>
                <w:b/>
                <w:color w:val="12263B"/>
                <w:sz w:val="16"/>
              </w:rPr>
              <w:t>Market regime shift</w:t>
            </w:r>
          </w:p>
        </w:tc>
        <w:tc>
          <w:tcPr>
            <w:tcW w:type="dxa" w:w="2891"/>
            <w:vAlign w:val="center"/>
            <w:tcMar>
              <w:top w:w="85" w:type="dxa"/>
              <w:start w:w="100" w:type="dxa"/>
              <w:bottom w:w="85" w:type="dxa"/>
              <w:end w:w="100" w:type="dxa"/>
            </w:tcMar>
            <w:tcBorders>
              <w:bottom w:val="single" w:sz="3" w:color="D9E3E8"/>
            </w:tcBorders>
          </w:tcPr>
          <w:p>
            <w:pPr>
              <w:pStyle w:val="TableText"/>
            </w:pPr>
            <w:r/>
            <w:r>
              <w:rPr>
                <w:sz w:val="16"/>
              </w:rPr>
              <w:t>Poor fit during shocks or structural changes.</w:t>
            </w:r>
          </w:p>
        </w:tc>
        <w:tc>
          <w:tcPr>
            <w:tcW w:type="dxa" w:w="4365"/>
            <w:vAlign w:val="center"/>
            <w:tcMar>
              <w:top w:w="85" w:type="dxa"/>
              <w:start w:w="100" w:type="dxa"/>
              <w:bottom w:w="85" w:type="dxa"/>
              <w:end w:w="100" w:type="dxa"/>
            </w:tcMar>
            <w:tcBorders>
              <w:bottom w:val="single" w:sz="3" w:color="D9E3E8"/>
            </w:tcBorders>
          </w:tcPr>
          <w:p>
            <w:pPr>
              <w:pStyle w:val="TableText"/>
            </w:pPr>
            <w:r/>
            <w:r>
              <w:rPr>
                <w:sz w:val="16"/>
              </w:rPr>
              <w:t>Drift monitor, volatility gate, cooldown and no-trade.</w:t>
            </w:r>
          </w:p>
        </w:tc>
      </w:tr>
      <w:tr>
        <w:trPr>
          <w:cantSplit/>
        </w:trPr>
        <w:tc>
          <w:tcPr>
            <w:tcW w:type="dxa" w:w="2268"/>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Feed / exchange differences</w:t>
            </w:r>
          </w:p>
        </w:tc>
        <w:tc>
          <w:tcPr>
            <w:tcW w:type="dxa" w:w="2891"/>
            <w:vAlign w:val="center"/>
            <w:tcMar>
              <w:top w:w="85" w:type="dxa"/>
              <w:start w:w="100" w:type="dxa"/>
              <w:bottom w:w="85" w:type="dxa"/>
              <w:end w:w="100" w:type="dxa"/>
            </w:tcMar>
            <w:shd w:fill="F1F6F8"/>
            <w:tcBorders>
              <w:bottom w:val="single" w:sz="3" w:color="D9E3E8"/>
            </w:tcBorders>
          </w:tcPr>
          <w:p>
            <w:pPr>
              <w:pStyle w:val="TableText"/>
            </w:pPr>
            <w:r/>
            <w:r>
              <w:rPr>
                <w:sz w:val="16"/>
              </w:rPr>
              <w:t>False signals, order/cost mismatch.</w:t>
            </w:r>
          </w:p>
        </w:tc>
        <w:tc>
          <w:tcPr>
            <w:tcW w:type="dxa" w:w="4365"/>
            <w:vAlign w:val="center"/>
            <w:tcMar>
              <w:top w:w="85" w:type="dxa"/>
              <w:start w:w="100" w:type="dxa"/>
              <w:bottom w:w="85" w:type="dxa"/>
              <w:end w:w="100" w:type="dxa"/>
            </w:tcMar>
            <w:shd w:fill="F1F6F8"/>
            <w:tcBorders>
              <w:bottom w:val="single" w:sz="3" w:color="D9E3E8"/>
            </w:tcBorders>
          </w:tcPr>
          <w:p>
            <w:pPr>
              <w:pStyle w:val="TableText"/>
            </w:pPr>
            <w:r/>
            <w:r>
              <w:rPr>
                <w:sz w:val="16"/>
              </w:rPr>
              <w:t>Provenance, source adapters and scenario testing.</w:t>
            </w:r>
          </w:p>
        </w:tc>
      </w:tr>
      <w:tr>
        <w:trPr>
          <w:cantSplit/>
        </w:trPr>
        <w:tc>
          <w:tcPr>
            <w:tcW w:type="dxa" w:w="2268"/>
            <w:vAlign w:val="center"/>
            <w:tcMar>
              <w:top w:w="85" w:type="dxa"/>
              <w:start w:w="100" w:type="dxa"/>
              <w:bottom w:w="85" w:type="dxa"/>
              <w:end w:w="100" w:type="dxa"/>
            </w:tcMar>
            <w:tcBorders>
              <w:bottom w:val="single" w:sz="3" w:color="D9E3E8"/>
            </w:tcBorders>
          </w:tcPr>
          <w:p>
            <w:pPr>
              <w:pStyle w:val="TableText"/>
            </w:pPr>
            <w:r/>
            <w:r>
              <w:rPr>
                <w:b/>
                <w:color w:val="12263B"/>
                <w:sz w:val="16"/>
              </w:rPr>
              <w:t>Costs and liquidity</w:t>
            </w:r>
          </w:p>
        </w:tc>
        <w:tc>
          <w:tcPr>
            <w:tcW w:type="dxa" w:w="2891"/>
            <w:vAlign w:val="center"/>
            <w:tcMar>
              <w:top w:w="85" w:type="dxa"/>
              <w:start w:w="100" w:type="dxa"/>
              <w:bottom w:w="85" w:type="dxa"/>
              <w:end w:w="100" w:type="dxa"/>
            </w:tcMar>
            <w:tcBorders>
              <w:bottom w:val="single" w:sz="3" w:color="D9E3E8"/>
            </w:tcBorders>
          </w:tcPr>
          <w:p>
            <w:pPr>
              <w:pStyle w:val="TableText"/>
            </w:pPr>
            <w:r/>
            <w:r>
              <w:rPr>
                <w:sz w:val="16"/>
              </w:rPr>
              <w:t>Apparent alpha disappears after spread/slippage.</w:t>
            </w:r>
          </w:p>
        </w:tc>
        <w:tc>
          <w:tcPr>
            <w:tcW w:type="dxa" w:w="4365"/>
            <w:vAlign w:val="center"/>
            <w:tcMar>
              <w:top w:w="85" w:type="dxa"/>
              <w:start w:w="100" w:type="dxa"/>
              <w:bottom w:w="85" w:type="dxa"/>
              <w:end w:w="100" w:type="dxa"/>
            </w:tcMar>
            <w:tcBorders>
              <w:bottom w:val="single" w:sz="3" w:color="D9E3E8"/>
            </w:tcBorders>
          </w:tcPr>
          <w:p>
            <w:pPr>
              <w:pStyle w:val="TableText"/>
            </w:pPr>
            <w:r/>
            <w:r>
              <w:rPr>
                <w:sz w:val="16"/>
              </w:rPr>
              <w:t>Conservative cost models and sensitivity analysis.</w:t>
            </w:r>
          </w:p>
        </w:tc>
      </w:tr>
      <w:tr>
        <w:trPr>
          <w:cantSplit/>
        </w:trPr>
        <w:tc>
          <w:tcPr>
            <w:tcW w:type="dxa" w:w="2268"/>
            <w:vAlign w:val="center"/>
            <w:tcMar>
              <w:top w:w="85" w:type="dxa"/>
              <w:start w:w="100" w:type="dxa"/>
              <w:bottom w:w="85" w:type="dxa"/>
              <w:end w:w="100" w:type="dxa"/>
            </w:tcMar>
            <w:shd w:fill="F1F6F8"/>
            <w:tcBorders>
              <w:bottom w:val="single" w:sz="3" w:color="D9E3E8"/>
            </w:tcBorders>
          </w:tcPr>
          <w:p>
            <w:pPr>
              <w:pStyle w:val="TableText"/>
            </w:pPr>
            <w:r/>
            <w:r>
              <w:rPr>
                <w:b/>
                <w:color w:val="12263B"/>
                <w:sz w:val="16"/>
              </w:rPr>
              <w:t>RL reward gaming</w:t>
            </w:r>
          </w:p>
        </w:tc>
        <w:tc>
          <w:tcPr>
            <w:tcW w:type="dxa" w:w="2891"/>
            <w:vAlign w:val="center"/>
            <w:tcMar>
              <w:top w:w="85" w:type="dxa"/>
              <w:start w:w="100" w:type="dxa"/>
              <w:bottom w:w="85" w:type="dxa"/>
              <w:end w:w="100" w:type="dxa"/>
            </w:tcMar>
            <w:shd w:fill="F1F6F8"/>
            <w:tcBorders>
              <w:bottom w:val="single" w:sz="3" w:color="D9E3E8"/>
            </w:tcBorders>
          </w:tcPr>
          <w:p>
            <w:pPr>
              <w:pStyle w:val="TableText"/>
            </w:pPr>
            <w:r/>
            <w:r>
              <w:rPr>
                <w:sz w:val="16"/>
              </w:rPr>
              <w:t>Policy exploits simulator artifacts.</w:t>
            </w:r>
          </w:p>
        </w:tc>
        <w:tc>
          <w:tcPr>
            <w:tcW w:type="dxa" w:w="4365"/>
            <w:vAlign w:val="center"/>
            <w:tcMar>
              <w:top w:w="85" w:type="dxa"/>
              <w:start w:w="100" w:type="dxa"/>
              <w:bottom w:w="85" w:type="dxa"/>
              <w:end w:w="100" w:type="dxa"/>
            </w:tcMar>
            <w:shd w:fill="F1F6F8"/>
            <w:tcBorders>
              <w:bottom w:val="single" w:sz="3" w:color="D9E3E8"/>
            </w:tcBorders>
          </w:tcPr>
          <w:p>
            <w:pPr>
              <w:pStyle w:val="TableText"/>
            </w:pPr>
            <w:r/>
            <w:r>
              <w:rPr>
                <w:sz w:val="16"/>
              </w:rPr>
              <w:t>Strong baselines, constrained env, separate holdout review.</w:t>
            </w:r>
          </w:p>
        </w:tc>
      </w:tr>
      <w:tr>
        <w:trPr>
          <w:cantSplit/>
        </w:trPr>
        <w:tc>
          <w:tcPr>
            <w:tcW w:type="dxa" w:w="2268"/>
            <w:vAlign w:val="center"/>
            <w:tcMar>
              <w:top w:w="85" w:type="dxa"/>
              <w:start w:w="100" w:type="dxa"/>
              <w:bottom w:w="85" w:type="dxa"/>
              <w:end w:w="100" w:type="dxa"/>
            </w:tcMar>
            <w:tcBorders>
              <w:bottom w:val="single" w:sz="3" w:color="D9E3E8"/>
            </w:tcBorders>
          </w:tcPr>
          <w:p>
            <w:pPr>
              <w:pStyle w:val="TableText"/>
            </w:pPr>
            <w:r/>
            <w:r>
              <w:rPr>
                <w:b/>
                <w:color w:val="12263B"/>
                <w:sz w:val="16"/>
              </w:rPr>
              <w:t>Scope / resource creep</w:t>
            </w:r>
          </w:p>
        </w:tc>
        <w:tc>
          <w:tcPr>
            <w:tcW w:type="dxa" w:w="2891"/>
            <w:vAlign w:val="center"/>
            <w:tcMar>
              <w:top w:w="85" w:type="dxa"/>
              <w:start w:w="100" w:type="dxa"/>
              <w:bottom w:w="85" w:type="dxa"/>
              <w:end w:w="100" w:type="dxa"/>
            </w:tcMar>
            <w:tcBorders>
              <w:bottom w:val="single" w:sz="3" w:color="D9E3E8"/>
            </w:tcBorders>
          </w:tcPr>
          <w:p>
            <w:pPr>
              <w:pStyle w:val="TableText"/>
            </w:pPr>
            <w:r/>
            <w:r>
              <w:rPr>
                <w:sz w:val="16"/>
              </w:rPr>
              <w:t>Platform too heavy for laptop or timeline.</w:t>
            </w:r>
          </w:p>
        </w:tc>
        <w:tc>
          <w:tcPr>
            <w:tcW w:type="dxa" w:w="4365"/>
            <w:vAlign w:val="center"/>
            <w:tcMar>
              <w:top w:w="85" w:type="dxa"/>
              <w:start w:w="100" w:type="dxa"/>
              <w:bottom w:w="85" w:type="dxa"/>
              <w:end w:w="100" w:type="dxa"/>
            </w:tcMar>
            <w:tcBorders>
              <w:bottom w:val="single" w:sz="3" w:color="D9E3E8"/>
            </w:tcBorders>
          </w:tcPr>
          <w:p>
            <w:pPr>
              <w:pStyle w:val="TableText"/>
            </w:pPr>
            <w:r/>
            <w:r>
              <w:rPr>
                <w:sz w:val="16"/>
              </w:rPr>
              <w:t>P0/P1/P2 gating and CPU-first rollout.</w:t>
            </w:r>
          </w:p>
        </w:tc>
      </w:tr>
    </w:tbl>
    <w:p>
      <w:pPr>
        <w:spacing w:after="0"/>
      </w:pPr>
    </w:p>
    <w:p>
      <w:pPr>
        <w:pStyle w:val="Heading2"/>
      </w:pPr>
      <w:r>
        <w:t>Sign-off / next iteration</w:t>
      </w:r>
    </w:p>
    <w:p>
      <w:r>
        <w:t>This version is a structured sample, not an approved product contract. Confirm the open decisions, identify the initial venue and data sources, then convert P0 rows into engineering tickets with owners, test cases, estimates and release criteria.</w:t>
      </w:r>
    </w:p>
    <w:tbl>
      <w:tblPr>
        <w:tblW w:type="auto" w:w="0"/>
        <w:tblLayout w:type="fixed"/>
        <w:tblLook w:firstColumn="1" w:firstRow="1" w:lastColumn="0" w:lastRow="0" w:noHBand="0" w:noVBand="1" w:val="04A0"/>
      </w:tblPr>
      <w:tblGrid>
        <w:gridCol w:w="9524"/>
      </w:tblGrid>
      <w:tr>
        <w:tc>
          <w:tcPr>
            <w:tcW w:type="dxa" w:w="9582"/>
            <w:shd w:fill="E5F2F4"/>
            <w:tcMar>
              <w:top w:w="80" w:type="dxa"/>
              <w:start w:w="100" w:type="dxa"/>
              <w:bottom w:w="80" w:type="dxa"/>
              <w:end w:w="100" w:type="dxa"/>
            </w:tcMar>
          </w:tcPr>
          <w:p>
            <w:pPr>
              <w:pStyle w:val="TableText"/>
            </w:pPr>
            <w:r>
              <w:rPr>
                <w:b/>
                <w:i w:val="0"/>
                <w:color w:val="0A8995"/>
                <w:sz w:val="16"/>
              </w:rPr>
              <w:t>STATUS SUMMARY</w:t>
            </w:r>
          </w:p>
        </w:tc>
      </w:tr>
    </w:tbl>
    <w:p>
      <w:pPr>
        <w:spacing w:after="0"/>
      </w:pPr>
    </w:p>
    <w:p>
      <w:pPr>
        <w:pStyle w:val="SmallText"/>
      </w:pPr>
      <w:r>
        <w:t>Planning baseline: documented  |  Implementation: not independently verified  |  Quantitative performance: not established  |  Live trading authorization: none</w:t>
      </w:r>
    </w:p>
    <w:sectPr w:rsidR="00FC693F" w:rsidRPr="0006063C" w:rsidSect="00034616">
      <w:headerReference w:type="default" r:id="rId9"/>
      <w:footerReference w:type="default" r:id="rId10"/>
      <w:pgSz w:w="11906" w:h="16838"/>
      <w:pgMar w:top="1134" w:right="1162" w:bottom="1020" w:left="1162"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B6A78"/>
        <w:sz w:val="14"/>
      </w:rPr>
      <w:t xml:space="preserve">SAMPLE DRAFT  •  V0.1  •  18 OCT 2026     |     </w:t>
    </w:r>
    <w:r>
      <w:rPr>
        <w:b w:val="0"/>
        <w:i w:val="0"/>
        <w:color w:val="5B6A78"/>
        <w:sz w:val="14"/>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5B6A78"/>
        <w:sz w:val="14"/>
      </w:rPr>
      <w:t>QUANTPILOT BTC  /  REQUIREMENTS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rlito" w:hAnsi="Carlito"/>
      <w:color w:val="202E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rlito" w:hAnsi="Carlito"/>
      <w:b/>
      <w:bCs/>
      <w:color w:val="12263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b/>
      <w:bCs/>
      <w:color w:val="0A8995"/>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rlito" w:hAnsi="Carlito"/>
      <w:b/>
      <w:bCs/>
      <w:color w:val="12263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rlito" w:hAnsi="Carlito"/>
      <w:b/>
      <w:color w:val="1226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basedOn w:val="Normal"/>
    <w:pPr>
      <w:spacing w:after="80"/>
    </w:pPr>
    <w:rPr>
      <w:rFonts w:ascii="Carlito" w:hAnsi="Carlito"/>
      <w:color w:val="5B6A78"/>
      <w:sz w:val="16"/>
    </w:rPr>
  </w:style>
  <w:style w:type="paragraph" w:customStyle="1" w:styleId="TableText">
    <w:name w:val="TableText"/>
    <w:basedOn w:val="Normal"/>
    <w:pPr>
      <w:spacing w:line="252" w:lineRule="auto" w:after="0"/>
    </w:pPr>
    <w:rPr>
      <w:rFonts w:ascii="Carlito" w:hAnsi="Carlit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QuantPilot BTC - Product &amp; System Requirements (Sample)</dc:title>
  <dc:subject>AI-driven Bitcoin quantitative trading platform requirements</dc:subject>
  <dc:creator>QuantPilot BTC - Project Team</dc:creator>
  <cp:keywords>Bitcoin, quantitative trading, requirements, SRS, ML, backtesting, paper trading</cp:keywords>
  <dc:description>generated by python-docx</dc:description>
  <cp:lastModifiedBy/>
  <cp:revision>1</cp:revision>
  <dcterms:created xsi:type="dcterms:W3CDTF">2013-12-23T23:15:00Z</dcterms:created>
  <dcterms:modified xsi:type="dcterms:W3CDTF">2013-12-23T23:15:00Z</dcterms:modified>
  <cp:category/>
</cp:coreProperties>
</file>