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pBdr>
          <w:bottom w:val="single" w:sz="12" w:space="4" w:color="0056B3"/>
        </w:pBdr>
      </w:pPr>
      <w:r>
        <w:rPr>
          <w:b/>
          <w:sz w:val="28"/>
          <w:color w:val="0056B3"/>
        </w:rPr>
        <w:t>TECHCARE SOPORTE TI</w:t>
      </w:r>
      <w:r>
        <w:rPr>
          <w:sz w:val="20"/>
          <w:color w:val="666666"/>
        </w:rPr>
        <w:t>  |  Repositorio Documental de Pruebas (QA)</w:t>
      </w:r>
    </w:p>
    <w:p>
      <w:pPr>
        <w:spacing w:before="240" w:after="120"/>
      </w:pPr>
      <w:r>
        <w:b/>
        <w:sz w:val="32"/>
        <w:color w:val="1E293B"/>
      </w:r>
      <w:t>Reporte de Conmutación por Falla: Corte de Enlace Principal de Fibra Óptica</w:t>
    </w:p>
    <w:p>
      <w:pPr>
        <w:spacing w:after="200"/>
      </w:pPr>
      <w:r>
        <w:b/>
        <w:color w:val="0056B3"/>
        <w:t>Código de Documento: </w:t>
      </w:r>
      <w:r>
        <w:t>DOC-06   |   </w:t>
      </w:r>
      <w:r>
        <w:b/>
        <w:color w:val="0056B3"/>
        <w:t>Categoría: </w:t>
      </w:r>
      <w:r>
        <w:t>Reportes de Incidentes y Logs   |   </w:t>
      </w:r>
      <w:r>
        <w:b/>
        <w:color w:val="0056B3"/>
        <w:t>Autor/QA: </w:t>
      </w:r>
      <w:r>
        <w:t>Jaider Augusto Niño Badillo</w:t>
      </w:r>
    </w:p>
    <w:p>
      <w:pPr>
        <w:spacing w:before="180" w:after="120"/>
        <w:pBdr>
          <w:left w:val="single" w:sz="36" w:space="12" w:color="0056B3"/>
        </w:pBdr>
        <w:shd w:val="clear" w:color="auto" w:fill="F0F7FF"/>
      </w:pPr>
      <w:r>
        <w:b/>
        <w:sz w:val="24"/>
        <w:color w:val="0056B3"/>
        <w:t>📌 Breve Explicación y Función en las Pruebas:</w:t>
      </w:r>
      <w:r>
        <w:br/>
        <w:sz w:val="21"/>
        <w:color w:val="2C3E50"/>
        <w:t>Documenta la pérdida del enlace de datos principal suministrado por el proveedor de telecomunicaciones y la conmutación exitosa al radioenlace de contingencia. Se utiliza para probar el módulo de recomendaciones de infraestructura de TechCare (inversión en enlaces redundantes y monitoreo proactivo NOC).</w:t>
      </w:r>
    </w:p>
    <w:p>
      <w:pPr>
        <w:spacing w:before="240" w:after="80"/>
      </w:pPr>
      <w:r>
        <w:b/>
        <w:sz w:val="24"/>
        <w:color w:val="0F172A"/>
        <w:t>1. Resumen de la Falla del Proveedor ISP</w:t>
      </w:r>
    </w:p>
    <w:p>
      <w:pPr>
        <w:spacing w:after="100"/>
      </w:pPr>
      <w:r>
        <w:sz w:val="21"/>
        <w:t>Dispositivo: Router-Core-Borde-01 (Interfaz GigabitEthernet0/0/1).</w:t>
      </w:r>
    </w:p>
    <w:p>
      <w:pPr>
        <w:spacing w:after="100"/>
      </w:pPr>
      <w:r>
        <w:sz w:val="21"/>
        <w:t>Duración del Corte: 70.5 minutos (de 03:15 a 04:25 UTC).</w:t>
      </w:r>
    </w:p>
    <w:p>
      <w:pPr>
        <w:spacing w:after="100"/>
      </w:pPr>
      <w:r>
        <w:sz w:val="21"/>
        <w:t>Causa Externa: Ruptura física de fibra óptica aérea por trabajos viales de terceros.</w:t>
      </w:r>
    </w:p>
    <w:p>
      <w:pPr>
        <w:spacing w:before="240" w:after="80"/>
      </w:pPr>
      <w:r>
        <w:b/>
        <w:sz w:val="24"/>
        <w:color w:val="0F172A"/>
        <w:t>2. Comportamiento del Mecanismo de Alta Disponibilidad</w:t>
      </w:r>
    </w:p>
    <w:p>
      <w:pPr>
        <w:spacing w:after="100"/>
      </w:pPr>
      <w:r>
        <w:sz w:val="21"/>
        <w:t>El protocolo de enrutamiento dinámico conmutó el tráfico al radioenlace secundario de microondas en 4.2 segundos.</w:t>
      </w:r>
    </w:p>
    <w:p>
      <w:pPr>
        <w:spacing w:after="100"/>
      </w:pPr>
      <w:r>
        <w:sz w:val="21"/>
        <w:t>Durante la contingencia se registró una pérdida de paquetes promedio del 2.1%, garantizando la operación continua de la mesa de ayuda TechCare.</w:t>
      </w:r>
    </w:p>
    <w:p>
      <w:pPr>
        <w:spacing w:before="360"/>
        <w:jc w:val="center"/>
        <w:pBdr>
          <w:top w:val="single" w:sz="6" w:space="8" w:color="CCCCCC"/>
        </w:pBdr>
      </w:pPr>
      <w:r>
        <w:rPr>
          <w:sz w:val="18"/>
          <w:color w:val="888888"/>
        </w:rPr>
        <w:t>TechCare Soporte TI — Repositorio Documental Oficial | Datos 100% Sintéticos y Anonimizados para QA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33333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