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Reporte de Telemetría: Análisis de Capacidad y Rendimiento en Servidor Cloud</w:t>
    </w:p>
    <w:p>
      <w:pPr>
        <w:spacing w:after="200"/>
      </w:pPr>
      <w:r>
        <w:b/>
        <w:color w:val="0056B3"/>
        <w:t>Código de Documento: </w:t>
      </w:r>
      <w:r>
        <w:t>DOC-10   |   </w:t>
      </w:r>
      <w:r>
        <w:b/>
        <w:color w:val="0056B3"/>
        <w:t>Categoría: </w:t>
      </w:r>
      <w:r>
        <w:t>Reportes de Incidentes y Logs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Informe con métricas de consumo de CPU, RAM e I/O de disco del servidor de aplicaciones. En las pruebas de TechCare, alimenta el motor de Analítica Estratégica para justificar decisiones de inversión en escalamiento de infraestructura.</w:t>
      </w:r>
    </w:p>
    <w:p>
      <w:pPr>
        <w:spacing w:before="240" w:after="80"/>
      </w:pPr>
      <w:r>
        <w:b/>
        <w:sz w:val="24"/>
        <w:color w:val="0F172A"/>
        <w:t>1. Parámetros de Monitoreo</w:t>
      </w:r>
    </w:p>
    <w:p>
      <w:pPr>
        <w:spacing w:after="100"/>
      </w:pPr>
      <w:r>
        <w:sz w:val="21"/>
        <w:t>Servidor SRV-PROD-APP-01 (8 vCPUs, 32 GB RAM, SSD NVMe 500 GB).</w:t>
      </w:r>
    </w:p>
    <w:p>
      <w:pPr>
        <w:spacing w:after="100"/>
      </w:pPr>
      <w:r>
        <w:sz w:val="21"/>
        <w:t>Pico de CPU registrado: 94.2% durante la franja horaria de cierre contable mensual (14:30 COT).</w:t>
      </w:r>
    </w:p>
    <w:p>
      <w:pPr>
        <w:spacing w:before="240" w:after="80"/>
      </w:pPr>
      <w:r>
        <w:b/>
        <w:sz w:val="24"/>
        <w:color w:val="0F172A"/>
        <w:t>2. Recomendación Generada por el Sistema</w:t>
      </w:r>
    </w:p>
    <w:p>
      <w:pPr>
        <w:spacing w:after="100"/>
      </w:pPr>
      <w:r>
        <w:sz w:val="21"/>
        <w:t>Habilitar auto-escalado horizontal de instancias y balanceo de carga para distribuir el tráfico en picos de demanda.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