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Guía de Autoservicio: Instalación y Configuración del Cliente VPN Corporativo</w:t>
    </w:p>
    <w:p>
      <w:pPr>
        <w:spacing w:after="200"/>
      </w:pPr>
      <w:r>
        <w:b/>
        <w:color w:val="0056B3"/>
        <w:t>Código de Documento: </w:t>
      </w:r>
      <w:r>
        <w:t>DOC-12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Guía orientada a usuarios finales y técnicos de mesa de ayuda para configurar conexiones remotas seguras mediante FortiClient y Cisco AnyConnect. Se utiliza en las pruebas para validar la generación de respuestas explicativas de autoservicio.</w:t>
      </w:r>
    </w:p>
    <w:p>
      <w:pPr>
        <w:spacing w:before="240" w:after="80"/>
      </w:pPr>
      <w:r>
        <w:b/>
        <w:sz w:val="24"/>
        <w:color w:val="0F172A"/>
        <w:t>1. Parámetros de Conexión Oficiales</w:t>
      </w:r>
    </w:p>
    <w:p>
      <w:pPr>
        <w:spacing w:after="100"/>
      </w:pPr>
      <w:r>
        <w:sz w:val="21"/>
        <w:t>Nombre de la Conexión: VPN Corporativa TechCare.</w:t>
      </w:r>
    </w:p>
    <w:p>
      <w:pPr>
        <w:spacing w:after="100"/>
      </w:pPr>
      <w:r>
        <w:sz w:val="21"/>
        <w:t>Gateway Remoto: vpn.empresa-demo.com | Puerto: 443 (SSL-VPN).</w:t>
      </w:r>
    </w:p>
    <w:p>
      <w:pPr>
        <w:spacing w:after="100"/>
      </w:pPr>
      <w:r>
        <w:sz w:val="21"/>
        <w:t>Método de Autenticación: Credenciales corporativas + Notificación Push en la app de autenticación móvil (MFA).</w:t>
      </w:r>
    </w:p>
    <w:p>
      <w:pPr>
        <w:spacing w:before="240" w:after="80"/>
      </w:pPr>
      <w:r>
        <w:b/>
        <w:sz w:val="24"/>
        <w:color w:val="0F172A"/>
        <w:t>2. Comprobación Rápida de Conectividad</w:t>
      </w:r>
    </w:p>
    <w:p>
      <w:pPr>
        <w:spacing w:after="100"/>
      </w:pPr>
      <w:r>
        <w:sz w:val="21"/>
        <w:t>En caso de falla de resolución DNS, ejecutar en CMD: ipconfig /flushdns</w:t>
      </w:r>
    </w:p>
    <w:p>
      <w:pPr>
        <w:spacing w:after="100"/>
      </w:pPr>
      <w:r>
        <w:sz w:val="21"/>
        <w:t>Probar conectividad de red con el gateway: Test-NetConnection -ComputerName vpn.empresa-demo.com -Port 443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