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pBdr>
          <w:bottom w:val="single" w:sz="12" w:space="4" w:color="0056B3"/>
        </w:pBdr>
      </w:pPr>
      <w:r>
        <w:rPr>
          <w:b/>
          <w:sz w:val="28"/>
          <w:color w:val="0056B3"/>
        </w:rPr>
        <w:t>TECHCARE SOPORTE TI</w:t>
      </w:r>
      <w:r>
        <w:rPr>
          <w:sz w:val="20"/>
          <w:color w:val="666666"/>
        </w:rPr>
        <w:t>  |  Repositorio Documental de Pruebas (QA)</w:t>
      </w:r>
    </w:p>
    <w:p>
      <w:pPr>
        <w:spacing w:before="240" w:after="120"/>
      </w:pPr>
      <w:r>
        <w:b/>
        <w:sz w:val="32"/>
        <w:color w:val="1E293B"/>
      </w:r>
      <w:t>SOP-SEC-008: Protocolo de Aislamiento Inmediato de Estación de Trabajo Comprometida</w:t>
    </w:p>
    <w:p>
      <w:pPr>
        <w:spacing w:after="200"/>
      </w:pPr>
      <w:r>
        <w:b/>
        <w:color w:val="0056B3"/>
        <w:t>Código de Documento: </w:t>
      </w:r>
      <w:r>
        <w:t>DOC-16   |   </w:t>
      </w:r>
      <w:r>
        <w:b/>
        <w:color w:val="0056B3"/>
        <w:t>Categoría: </w:t>
      </w:r>
      <w:r>
        <w:t>Procedimientos Operativos Estándar (SOP)   |   </w:t>
      </w:r>
      <w:r>
        <w:b/>
        <w:color w:val="0056B3"/>
        <w:t>Autor/QA: </w:t>
      </w:r>
      <w:r>
        <w:t>Jaider Augusto Niño Badillo</w:t>
      </w:r>
    </w:p>
    <w:p>
      <w:pPr>
        <w:spacing w:before="180" w:after="120"/>
        <w:pBdr>
          <w:left w:val="single" w:sz="36" w:space="12" w:color="0056B3"/>
        </w:pBdr>
        <w:shd w:val="clear" w:color="auto" w:fill="F0F7FF"/>
      </w:pPr>
      <w:r>
        <w:b/>
        <w:sz w:val="24"/>
        <w:color w:val="0056B3"/>
        <w:t>📌 Breve Explicación y Función en las Pruebas:</w:t>
      </w:r>
      <w:r>
        <w:br/>
        <w:sz w:val="21"/>
        <w:color w:val="2C3E50"/>
        <w:t>Procedimiento de contención urgente ante sospecha de intrusión o malware. Sirve para validar que la IA recomiende acciones preventivas como desconexión física de red y preservación de memoria volátil.</w:t>
      </w:r>
    </w:p>
    <w:p>
      <w:pPr>
        <w:spacing w:before="240" w:after="80"/>
      </w:pPr>
      <w:r>
        <w:b/>
        <w:sz w:val="24"/>
        <w:color w:val="0F172A"/>
        <w:t>1. Acciones Inmediatas (Primeros 120 Segundos)</w:t>
      </w:r>
    </w:p>
    <w:p>
      <w:pPr>
        <w:spacing w:after="100"/>
      </w:pPr>
      <w:r>
        <w:sz w:val="21"/>
        <w:t>1. Desconectar el cable de red RJ-45 y apagar interruptor WiFi.</w:t>
      </w:r>
    </w:p>
    <w:p>
      <w:pPr>
        <w:spacing w:after="100"/>
      </w:pPr>
      <w:r>
        <w:sz w:val="21"/>
        <w:t>2. No apagar el equipo para permitir la adquisición forense de la memoria RAM.</w:t>
      </w:r>
    </w:p>
    <w:p>
      <w:pPr>
        <w:spacing w:after="100"/>
      </w:pPr>
      <w:r>
        <w:sz w:val="21"/>
        <w:t>3. Aislar la cuenta de Active Directory en el controlador de dominio.</w:t>
      </w:r>
    </w:p>
    <w:p>
      <w:pPr>
        <w:spacing w:before="360"/>
        <w:jc w:val="center"/>
        <w:pBdr>
          <w:top w:val="single" w:sz="6" w:space="8" w:color="CCCCCC"/>
        </w:pBdr>
      </w:pPr>
      <w:r>
        <w:rPr>
          <w:sz w:val="18"/>
          <w:color w:val="888888"/>
        </w:rPr>
        <w:t>TechCare Soporte TI — Repositorio Documental Oficial | Datos 100% Sintéticos y Anonimizados para QA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color w:val="333333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2" Type="http://schemas.openxmlformats.org/officeDocument/2006/relationships/styles" Target="styles.xml"/>
</Relationships>
</file>