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pBdr>
          <w:bottom w:val="single" w:sz="12" w:space="4" w:color="0056B3"/>
        </w:pBdr>
      </w:pPr>
      <w:r>
        <w:rPr>
          <w:b/>
          <w:sz w:val="28"/>
          <w:color w:val="0056B3"/>
        </w:rPr>
        <w:t>TECHCARE SOPORTE TI</w:t>
      </w:r>
      <w:r>
        <w:rPr>
          <w:sz w:val="20"/>
          <w:color w:val="666666"/>
        </w:rPr>
        <w:t>  |  Repositorio Documental de Pruebas (QA)</w:t>
      </w:r>
    </w:p>
    <w:p>
      <w:pPr>
        <w:spacing w:before="240" w:after="120"/>
      </w:pPr>
      <w:r>
        <w:b/>
        <w:sz w:val="32"/>
        <w:color w:val="1E293B"/>
      </w:r>
      <w:t>Especificación Técnica: Árbol de Decisión y Reglas Heurísticas del Motor Local</w:t>
    </w:p>
    <w:p>
      <w:pPr>
        <w:spacing w:after="200"/>
      </w:pPr>
      <w:r>
        <w:b/>
        <w:color w:val="0056B3"/>
        <w:t>Código de Documento: </w:t>
      </w:r>
      <w:r>
        <w:t>DOC-20   |   </w:t>
      </w:r>
      <w:r>
        <w:b/>
        <w:color w:val="0056B3"/>
        <w:t>Categoría: </w:t>
      </w:r>
      <w:r>
        <w:t>Procedimientos Operativos Estándar (SOP)   |   </w:t>
      </w:r>
      <w:r>
        <w:b/>
        <w:color w:val="0056B3"/>
        <w:t>Autor/QA: </w:t>
      </w:r>
      <w:r>
        <w:t>Jaider Augusto Niño Badillo</w:t>
      </w:r>
    </w:p>
    <w:p>
      <w:pPr>
        <w:spacing w:before="180" w:after="120"/>
        <w:pBdr>
          <w:left w:val="single" w:sz="36" w:space="12" w:color="0056B3"/>
        </w:pBdr>
        <w:shd w:val="clear" w:color="auto" w:fill="F0F7FF"/>
      </w:pPr>
      <w:r>
        <w:b/>
        <w:sz w:val="24"/>
        <w:color w:val="0056B3"/>
        <w:t>📌 Breve Explicación y Función en las Pruebas:</w:t>
      </w:r>
      <w:r>
        <w:br/>
        <w:sz w:val="21"/>
        <w:color w:val="2C3E50"/>
        <w:t>Documenta la lógica de evaluación por expresiones regulares del LocalExpertService.php para asignar prioridades y categorías técnicas en modo 100% offline.</w:t>
      </w:r>
    </w:p>
    <w:p>
      <w:pPr>
        <w:spacing w:before="240" w:after="80"/>
      </w:pPr>
      <w:r>
        <w:b/>
        <w:sz w:val="24"/>
        <w:color w:val="0F172A"/>
        <w:t>1. Taxonomía de Clasificación Semántica</w:t>
      </w:r>
    </w:p>
    <w:p>
      <w:pPr>
        <w:spacing w:after="100"/>
      </w:pPr>
      <w:r>
        <w:sz w:val="21"/>
        <w:t>Patrón (vpn|proxy|gateway) =&gt; Asignar dominio RED y prioridad Alta.</w:t>
      </w:r>
    </w:p>
    <w:p>
      <w:pPr>
        <w:spacing w:after="100"/>
      </w:pPr>
      <w:r>
        <w:sz w:val="21"/>
        <w:t>Patrón (sql|deadlock|timeout) =&gt; Asignar dominio BASE_DE_DATOS y prioridad Alta.</w:t>
      </w:r>
    </w:p>
    <w:p>
      <w:pPr>
        <w:spacing w:after="100"/>
      </w:pPr>
      <w:r>
        <w:sz w:val="21"/>
        <w:t>Patrón (phishing|virus|ransomware) =&gt; Asignar dominio SEGURIDAD y prioridad Crítica.</w:t>
      </w:r>
    </w:p>
    <w:p>
      <w:pPr>
        <w:spacing w:before="360"/>
        <w:jc w:val="center"/>
        <w:pBdr>
          <w:top w:val="single" w:sz="6" w:space="8" w:color="CCCCCC"/>
        </w:pBdr>
      </w:pPr>
      <w:r>
        <w:rPr>
          <w:sz w:val="18"/>
          <w:color w:val="888888"/>
        </w:rPr>
        <w:t>TechCare Soporte TI — Repositorio Documental Oficial | Datos 100% Sintéticos y Anonimizados para QA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color w:val="333333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2" Type="http://schemas.openxmlformats.org/officeDocument/2006/relationships/styles" Target="styles.xml"/>
</Relationships>
</file>