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jc w:val="center"/>
        <w:pBdr>
          <w:bottom w:val="single" w:sz="12" w:space="4" w:color="0056B3"/>
        </w:pBdr>
      </w:pPr>
      <w:r>
        <w:rPr>
          <w:b/>
          <w:sz w:val="28"/>
          <w:color w:val="0056B3"/>
        </w:rPr>
        <w:t>TECHCARE SOPORTE TI</w:t>
      </w:r>
      <w:r>
        <w:rPr>
          <w:sz w:val="20"/>
          <w:color w:val="666666"/>
        </w:rPr>
        <w:t>  |  Repositorio Documental de Pruebas (QA)</w:t>
      </w:r>
    </w:p>
    <w:p>
      <w:pPr>
        <w:spacing w:before="240" w:after="120"/>
      </w:pPr>
      <w:r>
        <w:b/>
        <w:sz w:val="32"/>
        <w:color w:val="1E293B"/>
      </w:r>
      <w:t>POL-SEC-01: Política Corporativa de Contraseñas y Autenticación Multifactor</w:t>
    </w:p>
    <w:p>
      <w:pPr>
        <w:spacing w:after="200"/>
      </w:pPr>
      <w:r>
        <w:b/>
        <w:color w:val="0056B3"/>
        <w:t>Código de Documento: </w:t>
      </w:r>
      <w:r>
        <w:t>DOC-21   |   </w:t>
      </w:r>
      <w:r>
        <w:b/>
        <w:color w:val="0056B3"/>
        <w:t>Categoría: </w:t>
      </w:r>
      <w:r>
        <w:t>Políticas de Seguridad y Acuerdos SLA   |   </w:t>
      </w:r>
      <w:r>
        <w:b/>
        <w:color w:val="0056B3"/>
        <w:t>Autor/QA: </w:t>
      </w:r>
      <w:r>
        <w:t>Jaider Augusto Niño Badillo</w:t>
      </w:r>
    </w:p>
    <w:p>
      <w:pPr>
        <w:spacing w:before="180" w:after="120"/>
        <w:pBdr>
          <w:left w:val="single" w:sz="36" w:space="12" w:color="0056B3"/>
        </w:pBdr>
        <w:shd w:val="clear" w:color="auto" w:fill="F0F7FF"/>
      </w:pPr>
      <w:r>
        <w:b/>
        <w:sz w:val="24"/>
        <w:color w:val="0056B3"/>
        <w:t>📌 Breve Explicación y Función en las Pruebas:</w:t>
      </w:r>
      <w:r>
        <w:br/>
        <w:sz w:val="21"/>
        <w:color w:val="2C3E50"/>
        <w:t>Normativa de seguridad que define los requisitos de robustez de contraseñas (12+ caracteres, mayúsculas, símbolos) y la obligatoriedad de MFA. Valida los requisitos no funcionales de seguridad y el uso de BCRYPT en TechCare.</w:t>
      </w:r>
    </w:p>
    <w:p>
      <w:pPr>
        <w:spacing w:before="240" w:after="80"/>
      </w:pPr>
      <w:r>
        <w:b/>
        <w:sz w:val="24"/>
        <w:color w:val="0F172A"/>
        <w:t>1. Directrices Obligatorias de Autenticación</w:t>
      </w:r>
    </w:p>
    <w:p>
      <w:pPr>
        <w:spacing w:after="100"/>
      </w:pPr>
      <w:r>
        <w:sz w:val="21"/>
        <w:t>Longitud mínima de 12 caracteres con combinación de números, letras y símbolos especiales.</w:t>
      </w:r>
    </w:p>
    <w:p>
      <w:pPr>
        <w:spacing w:after="100"/>
      </w:pPr>
      <w:r>
        <w:sz w:val="21"/>
        <w:t>Rotación obligatoria cada 90 días calendario con restricción de reutilización de las últimas 10 claves.</w:t>
      </w:r>
    </w:p>
    <w:p>
      <w:pPr>
        <w:spacing w:after="100"/>
      </w:pPr>
      <w:r>
        <w:sz w:val="21"/>
        <w:t>Autenticación Multifactor (MFA) obligatoria para acceso a correo corporativo y sistemas internos.</w:t>
      </w:r>
    </w:p>
    <w:p>
      <w:pPr>
        <w:spacing w:before="360"/>
        <w:jc w:val="center"/>
        <w:pBdr>
          <w:top w:val="single" w:sz="6" w:space="8" w:color="CCCCCC"/>
        </w:pBdr>
      </w:pPr>
      <w:r>
        <w:rPr>
          <w:sz w:val="18"/>
          <w:color w:val="888888"/>
        </w:rPr>
        <w:t>TechCare Soporte TI — Repositorio Documental Oficial | Datos 100% Sintéticos y Anonimizados para QA</w:t>
      </w:r>
    </w:p>
    <w:sectPr>
      <w:pgSz w:w="12240" w:h="15840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color w:val="333333"/>
      </w:rPr>
    </w:rPrDefault>
  </w:docDefaults>
</w:styles>
</file>

<file path=word/_rels/document.xml.rels><?xml version="1.0" encoding="UTF-8" standalone="yes"?>
<Relationships xmlns="http://schemas.openxmlformats.org/package/2006/relationships">
  <Relationship Id="rId2" Type="http://schemas.openxmlformats.org/officeDocument/2006/relationships/styles" Target="styles.xml"/>
</Relationships>
</file>