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Acuerdo de Nivel de Servicio (SLA): Tiempos de Respuesta y Resolución</w:t>
    </w:p>
    <w:p>
      <w:pPr>
        <w:spacing w:after="200"/>
      </w:pPr>
      <w:r>
        <w:b/>
        <w:color w:val="0056B3"/>
        <w:t>Código de Documento: </w:t>
      </w:r>
      <w:r>
        <w:t>DOC-22   |   </w:t>
      </w:r>
      <w:r>
        <w:b/>
        <w:color w:val="0056B3"/>
        <w:t>Categoría: </w:t>
      </w:r>
      <w:r>
        <w:t>Políticas de Seguridad y Acuerdos SLA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Define los compromisos formales de tiempo para cada nivel de prioridad (Crítica: 15 min respuesta / 2 horas solución). Se utiliza para comprobar que el Dashboard alerte oportunamente sobre tickets próximos a vencer.</w:t>
      </w:r>
    </w:p>
    <w:p>
      <w:pPr>
        <w:spacing w:before="240" w:after="80"/>
      </w:pPr>
      <w:r>
        <w:b/>
        <w:sz w:val="24"/>
        <w:color w:val="0F172A"/>
        <w:t>1. Tiempos Máximos Comprometidos</w:t>
      </w:r>
    </w:p>
    <w:p>
      <w:pPr>
        <w:spacing w:after="100"/>
      </w:pPr>
      <w:r>
        <w:sz w:val="21"/>
        <w:t>Prioridad Crítica: Primera respuesta en 15 minutos | Resolución en 2 horas (Disponibilidad 24/7).</w:t>
      </w:r>
    </w:p>
    <w:p>
      <w:pPr>
        <w:spacing w:after="100"/>
      </w:pPr>
      <w:r>
        <w:sz w:val="21"/>
        <w:t>Prioridad Alta: Primera respuesta en 30 minutos | Resolución en 6 horas.</w:t>
      </w:r>
    </w:p>
    <w:p>
      <w:pPr>
        <w:spacing w:after="100"/>
      </w:pPr>
      <w:r>
        <w:sz w:val="21"/>
        <w:t>Prioridad Media: Primera respuesta en 2 horas | Resolución en 24 horas laborables.</w:t>
      </w:r>
    </w:p>
    <w:p>
      <w:pPr>
        <w:spacing w:after="100"/>
      </w:pPr>
      <w:r>
        <w:sz w:val="21"/>
        <w:t>Prioridad Baja: Primera respuesta en 4 horas | Resolución en 48 horas laborables.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