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pBdr>
          <w:bottom w:val="single" w:sz="12" w:space="4" w:color="0056B3"/>
        </w:pBdr>
      </w:pPr>
      <w:r>
        <w:rPr>
          <w:b/>
          <w:sz w:val="28"/>
          <w:color w:val="0056B3"/>
        </w:rPr>
        <w:t>TECHCARE SOPORTE TI</w:t>
      </w:r>
      <w:r>
        <w:rPr>
          <w:sz w:val="20"/>
          <w:color w:val="666666"/>
        </w:rPr>
        <w:t>  |  Repositorio Documental de Pruebas (QA)</w:t>
      </w:r>
    </w:p>
    <w:p>
      <w:pPr>
        <w:spacing w:before="240" w:after="120"/>
      </w:pPr>
      <w:r>
        <w:b/>
        <w:sz w:val="32"/>
        <w:color w:val="1E293B"/>
      </w:r>
      <w:t>POL-SEC-02: Normativa de Control de Acceso Basado en Roles (RBAC)</w:t>
    </w:p>
    <w:p>
      <w:pPr>
        <w:spacing w:after="200"/>
      </w:pPr>
      <w:r>
        <w:b/>
        <w:color w:val="0056B3"/>
        <w:t>Código de Documento: </w:t>
      </w:r>
      <w:r>
        <w:t>DOC-24   |   </w:t>
      </w:r>
      <w:r>
        <w:b/>
        <w:color w:val="0056B3"/>
        <w:t>Categoría: </w:t>
      </w:r>
      <w:r>
        <w:t>Políticas de Seguridad y Acuerdos SLA   |   </w:t>
      </w:r>
      <w:r>
        <w:b/>
        <w:color w:val="0056B3"/>
        <w:t>Autor/QA: </w:t>
      </w:r>
      <w:r>
        <w:t>Jaider Augusto Niño Badillo</w:t>
      </w:r>
    </w:p>
    <w:p>
      <w:pPr>
        <w:spacing w:before="180" w:after="120"/>
        <w:pBdr>
          <w:left w:val="single" w:sz="36" w:space="12" w:color="0056B3"/>
        </w:pBdr>
        <w:shd w:val="clear" w:color="auto" w:fill="F0F7FF"/>
      </w:pPr>
      <w:r>
        <w:b/>
        <w:sz w:val="24"/>
        <w:color w:val="0056B3"/>
        <w:t>📌 Breve Explicación y Función en las Pruebas:</w:t>
      </w:r>
      <w:r>
        <w:br/>
        <w:sz w:val="21"/>
        <w:color w:val="2C3E50"/>
        <w:t>Define formalmente los perfiles de usuario ('cliente', 'tecnico', 'admin') y las rutas autorizadas en la plataforma TechCare. Valida los middlewares de autenticación requireAdmin() y requireAuth().</w:t>
      </w:r>
    </w:p>
    <w:p>
      <w:pPr>
        <w:spacing w:before="240" w:after="80"/>
      </w:pPr>
      <w:r>
        <w:b/>
        <w:sz w:val="24"/>
        <w:color w:val="0F172A"/>
        <w:t>1. Definición de Perfiles y Privilegios</w:t>
      </w:r>
    </w:p>
    <w:p>
      <w:pPr>
        <w:spacing w:after="100"/>
      </w:pPr>
      <w:r>
        <w:sz w:val="21"/>
        <w:t>Rol Cliente: Radicación de solicitudes y consulta de historial de tickets propios en views/formulario.php.</w:t>
      </w:r>
    </w:p>
    <w:p>
      <w:pPr>
        <w:spacing w:after="100"/>
      </w:pPr>
      <w:r>
        <w:sz w:val="21"/>
        <w:t>Rol Técnico: Visualización de incidentes globales, cambio de estados y ejecución del copiloto IA.</w:t>
      </w:r>
    </w:p>
    <w:p>
      <w:pPr>
        <w:spacing w:after="100"/>
      </w:pPr>
      <w:r>
        <w:sz w:val="21"/>
        <w:t>Rol Administrador: Acceso total al Dashboard gerencial, auditoría y módulo de analítica estratégica.</w:t>
      </w:r>
    </w:p>
    <w:p>
      <w:pPr>
        <w:spacing w:before="360"/>
        <w:jc w:val="center"/>
        <w:pBdr>
          <w:top w:val="single" w:sz="6" w:space="8" w:color="CCCCCC"/>
        </w:pBdr>
      </w:pPr>
      <w:r>
        <w:rPr>
          <w:sz w:val="18"/>
          <w:color w:val="888888"/>
        </w:rPr>
        <w:t>TechCare Soporte TI — Repositorio Documental Oficial | Datos 100% Sintéticos y Anonimizados para QA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333333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</Relationships>
</file>