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pBdr>
          <w:bottom w:val="single" w:sz="12" w:space="4" w:color="0056B3"/>
        </w:pBdr>
      </w:pPr>
      <w:r>
        <w:rPr>
          <w:b/>
          <w:sz w:val="28"/>
          <w:color w:val="0056B3"/>
        </w:rPr>
        <w:t>TECHCARE SOPORTE TI</w:t>
      </w:r>
      <w:r>
        <w:rPr>
          <w:sz w:val="20"/>
          <w:color w:val="666666"/>
        </w:rPr>
        <w:t>  |  Repositorio Documental de Pruebas (QA)</w:t>
      </w:r>
    </w:p>
    <w:p>
      <w:pPr>
        <w:spacing w:before="240" w:after="120"/>
      </w:pPr>
      <w:r>
        <w:b/>
        <w:sz w:val="32"/>
        <w:color w:val="1E293B"/>
      </w:r>
      <w:t>Plan de Continuidad del Negocio (BCP) y Recuperación ante Desastres de TI</w:t>
    </w:p>
    <w:p>
      <w:pPr>
        <w:spacing w:after="200"/>
      </w:pPr>
      <w:r>
        <w:b/>
        <w:color w:val="0056B3"/>
        <w:t>Código de Documento: </w:t>
      </w:r>
      <w:r>
        <w:t>DOC-25   |   </w:t>
      </w:r>
      <w:r>
        <w:b/>
        <w:color w:val="0056B3"/>
        <w:t>Categoría: </w:t>
      </w:r>
      <w:r>
        <w:t>Políticas de Seguridad y Acuerdos SLA   |   </w:t>
      </w:r>
      <w:r>
        <w:b/>
        <w:color w:val="0056B3"/>
        <w:t>Autor/QA: </w:t>
      </w:r>
      <w:r>
        <w:t>Jaider Augusto Niño Badillo</w:t>
      </w:r>
    </w:p>
    <w:p>
      <w:pPr>
        <w:spacing w:before="180" w:after="120"/>
        <w:pBdr>
          <w:left w:val="single" w:sz="36" w:space="12" w:color="0056B3"/>
        </w:pBdr>
        <w:shd w:val="clear" w:color="auto" w:fill="F0F7FF"/>
      </w:pPr>
      <w:r>
        <w:b/>
        <w:sz w:val="24"/>
        <w:color w:val="0056B3"/>
        <w:t>📌 Breve Explicación y Función en las Pruebas:</w:t>
      </w:r>
      <w:r>
        <w:br/>
        <w:sz w:val="21"/>
        <w:color w:val="2C3E50"/>
        <w:t>Estrategia para garantizar la operación continua de la mesa de ayuda ante fallos mayores, estableciendo un RTO de 2 horas y RPO de 15 minutos, y destacando el papel del motor local offline.</w:t>
      </w:r>
    </w:p>
    <w:p>
      <w:pPr>
        <w:spacing w:before="240" w:after="80"/>
      </w:pPr>
      <w:r>
        <w:b/>
        <w:sz w:val="24"/>
        <w:color w:val="0F172A"/>
        <w:t>1. Objetivos de Recuperación</w:t>
      </w:r>
    </w:p>
    <w:p>
      <w:pPr>
        <w:spacing w:after="100"/>
      </w:pPr>
      <w:r>
        <w:sz w:val="21"/>
        <w:t>RTO (Recovery Time Objective): Restablecimiento de servicios de soporte en menos de 120 minutos.</w:t>
      </w:r>
    </w:p>
    <w:p>
      <w:pPr>
        <w:spacing w:after="100"/>
      </w:pPr>
      <w:r>
        <w:sz w:val="21"/>
        <w:t>RPO (Recovery Point Objective): Pérdida máxima de datos de 15 minutos mediante respaldos continuos.</w:t>
      </w:r>
    </w:p>
    <w:p>
      <w:pPr>
        <w:spacing w:after="100"/>
      </w:pPr>
      <w:r>
        <w:sz w:val="21"/>
        <w:t>Contingencia Offline: Funcionamiento del motor heurístico local sin requerir conexión a la nube de Google.</w:t>
      </w:r>
    </w:p>
    <w:p>
      <w:pPr>
        <w:spacing w:before="360"/>
        <w:jc w:val="center"/>
        <w:pBdr>
          <w:top w:val="single" w:sz="6" w:space="8" w:color="CCCCCC"/>
        </w:pBdr>
      </w:pPr>
      <w:r>
        <w:rPr>
          <w:sz w:val="18"/>
          <w:color w:val="888888"/>
        </w:rPr>
        <w:t>TechCare Soporte TI — Repositorio Documental Oficial | Datos 100% Sintéticos y Anonimizados para QA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color w:val="333333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2" Type="http://schemas.openxmlformats.org/officeDocument/2006/relationships/styles" Target="styles.xml"/>
</Relationships>
</file>