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Informe de Auditoría y Cumplimiento de Licenciamiento Corporativo</w:t>
    </w:p>
    <w:p>
      <w:pPr>
        <w:spacing w:after="200"/>
      </w:pPr>
      <w:r>
        <w:b/>
        <w:color w:val="0056B3"/>
        <w:t>Código de Documento: </w:t>
      </w:r>
      <w:r>
        <w:t>DOC-26   |   </w:t>
      </w:r>
      <w:r>
        <w:b/>
        <w:color w:val="0056B3"/>
        <w:t>Categoría: </w:t>
      </w:r>
      <w:r>
        <w:t>Políticas de Seguridad y Acuerdos SLA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Matriz de conciliación entre licencias de software adquiridas y asignadas (M365, FortiClient, Windows Server) para evitar infracciones de propiedad intelectual.</w:t>
      </w:r>
    </w:p>
    <w:p>
      <w:pPr>
        <w:spacing w:before="240" w:after="80"/>
      </w:pPr>
      <w:r>
        <w:b/>
        <w:sz w:val="24"/>
        <w:color w:val="0F172A"/>
        <w:t>1. Balance de Cumplimiento</w:t>
      </w:r>
    </w:p>
    <w:p>
      <w:pPr>
        <w:spacing w:after="100"/>
      </w:pPr>
      <w:r>
        <w:sz w:val="21"/>
        <w:t>Microsoft 365 Business Standard: 120 adquiridas / 118 en uso activo (2 disponibles).</w:t>
      </w:r>
    </w:p>
    <w:p>
      <w:pPr>
        <w:spacing w:after="100"/>
      </w:pPr>
      <w:r>
        <w:sz w:val="21"/>
        <w:t>FortiClient ZTNA / VPN: 150 adquiridas / 135 en uso activo (15 disponibles).</w:t>
      </w:r>
    </w:p>
    <w:p>
      <w:pPr>
        <w:spacing w:after="100"/>
      </w:pPr>
      <w:r>
        <w:sz w:val="21"/>
        <w:t>Cumplimiento normativo global: 100% de software legal debidamente amparado por contratos.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