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POL-SEC-04: Política de Gestión de Parches y Actualizaciones Críticas</w:t>
    </w:p>
    <w:p>
      <w:pPr>
        <w:spacing w:after="200"/>
      </w:pPr>
      <w:r>
        <w:b/>
        <w:color w:val="0056B3"/>
        <w:t>Código de Documento: </w:t>
      </w:r>
      <w:r>
        <w:t>DOC-27   |   </w:t>
      </w:r>
      <w:r>
        <w:b/>
        <w:color w:val="0056B3"/>
        <w:t>Categoría: </w:t>
      </w:r>
      <w:r>
        <w:t>Políticas de Seguridad y Acuerdos SLA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Regula el calendario de instalación de parches en servidores y terminales, estableciendo un plazo de 24 a 48 horas para vulnerabilidades críticas de día cero.</w:t>
      </w:r>
    </w:p>
    <w:p>
      <w:pPr>
        <w:spacing w:before="240" w:after="80"/>
      </w:pPr>
      <w:r>
        <w:b/>
        <w:sz w:val="24"/>
        <w:color w:val="0F172A"/>
        <w:t>1. Ventanas de Mantenimiento</w:t>
      </w:r>
    </w:p>
    <w:p>
      <w:pPr>
        <w:spacing w:after="100"/>
      </w:pPr>
      <w:r>
        <w:sz w:val="21"/>
        <w:t>Parches Críticos (Zero-Day): Aplicación urgente en menos de 48 horas bajo aprobación de emergencia.</w:t>
      </w:r>
    </w:p>
    <w:p>
      <w:pPr>
        <w:spacing w:after="100"/>
      </w:pPr>
      <w:r>
        <w:sz w:val="21"/>
        <w:t>Parches Regulares: Despliegue el tercer jueves de cada mes en horario nocturno no hábil.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