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6B3"/>
          <w:sz w:val="26"/>
        </w:rPr>
        <w:t>TECHCARE SOPORTE TI</w:t>
      </w:r>
      <w:r>
        <w:rPr>
          <w:color w:val="64748B"/>
          <w:sz w:val="20"/>
        </w:rPr>
        <w:t xml:space="preserve">  |  Repositorio Documental de Pruebas (QA)</w:t>
      </w:r>
    </w:p>
    <w:p>
      <w:pPr>
        <w:spacing w:before="200" w:after="80"/>
      </w:pPr>
      <w:r>
        <w:rPr>
          <w:b/>
          <w:color w:val="0F172A"/>
          <w:sz w:val="30"/>
        </w:rPr>
        <w:t>Informe Técnico: Detección y Resolución de Deadlock en Motor MySQL InnoDB</w:t>
      </w:r>
    </w:p>
    <w:p>
      <w:pPr>
        <w:spacing w:after="200"/>
      </w:pPr>
      <w:r>
        <w:rPr>
          <w:b/>
          <w:color w:val="0056B3"/>
          <w:sz w:val="20"/>
        </w:rPr>
        <w:t xml:space="preserve">Código: </w:t>
      </w:r>
      <w:r>
        <w:rPr>
          <w:sz w:val="20"/>
        </w:rPr>
        <w:t xml:space="preserve">DOC-02   |   </w:t>
      </w:r>
      <w:r>
        <w:rPr>
          <w:b/>
          <w:color w:val="0056B3"/>
          <w:sz w:val="20"/>
        </w:rPr>
        <w:t xml:space="preserve">Categoría: </w:t>
      </w:r>
      <w:r>
        <w:rPr>
          <w:sz w:val="20"/>
        </w:rPr>
        <w:t xml:space="preserve">Reportes de Incidentes y Logs   |   </w:t>
      </w:r>
      <w:r>
        <w:rPr>
          <w:b/>
          <w:color w:val="0056B3"/>
          <w:sz w:val="20"/>
        </w:rPr>
        <w:t xml:space="preserve">Autor/QA: </w:t>
      </w:r>
      <w:r>
        <w:rPr>
          <w:sz w:val="20"/>
        </w:rPr>
        <w:t>Jaider Augusto Niño Badillo</w:t>
      </w:r>
    </w:p>
    <w:tbl>
      <w:tblPr>
        <w:tblW w:type="auto" w:w="0"/>
        <w:jc w:val="center"/>
        <w:tblLayout w:type="fixed"/>
        <w:tblLook w:firstColumn="1" w:firstRow="1" w:lastColumn="0" w:lastRow="0" w:noHBand="0" w:noVBand="1" w:val="04A0"/>
      </w:tblPr>
      <w:tblGrid>
        <w:gridCol w:w="9360"/>
      </w:tblGrid>
      <w:tr>
        <w:tc>
          <w:tcPr>
            <w:tcW w:type="dxa" w:w="9360"/>
            <w:shd w:val="clear" w:color="auto" w:fill="F0F7FF"/>
          </w:tcPr>
          <w:p>
            <w:pPr>
              <w:spacing w:before="80" w:after="80"/>
            </w:pPr>
            <w:r>
              <w:rPr>
                <w:b/>
                <w:color w:val="0056B3"/>
                <w:sz w:val="21"/>
              </w:rPr>
              <w:t>📌 Breve Explicación y Función en las Pruebas:</w:t>
            </w:r>
          </w:p>
          <w:p>
            <w:pPr>
              <w:spacing w:after="80"/>
            </w:pPr>
            <w:r>
              <w:rPr>
                <w:color w:val="1E293B"/>
                <w:sz w:val="20"/>
              </w:rPr>
              <w:t>Documento que detalla un evento de bloqueo mutuo transaccional (deadlock) ocurrido en la base de datos de soporte. En las pruebas de software, este documento se utiliza para verificar cómo el modelo local heurístico y la IA Cloud analizan consultas SQL concurrentes, identifican la transacción causante del bloqueo y sugieren comandos de diagnóstico de alto nivel como SHOW FULL PROCESSLIST y KILL thread_id.</w:t>
            </w:r>
          </w:p>
        </w:tc>
      </w:tr>
    </w:tbl>
    <w:p>
      <w:pPr>
        <w:spacing w:before="120" w:after="0"/>
      </w:pPr>
    </w:p>
    <w:p>
      <w:pPr>
        <w:spacing w:before="200" w:after="60"/>
      </w:pPr>
      <w:r>
        <w:rPr>
          <w:b/>
          <w:color w:val="0F172A"/>
          <w:sz w:val="23"/>
        </w:rPr>
        <w:t>1. Ficha del Incidente de Base de Datos</w:t>
      </w:r>
    </w:p>
    <w:p>
      <w:pPr>
        <w:spacing w:after="60"/>
      </w:pPr>
      <w:r>
        <w:rPr>
          <w:color w:val="334155"/>
          <w:sz w:val="20"/>
        </w:rPr>
        <w:t>Identificador: INC-DB-2026-0941.</w:t>
      </w:r>
    </w:p>
    <w:p>
      <w:pPr>
        <w:spacing w:after="60"/>
      </w:pPr>
      <w:r>
        <w:rPr>
          <w:color w:val="334155"/>
          <w:sz w:val="20"/>
        </w:rPr>
        <w:t>Motor Afectado: MySQL 8.0.35 InnoDB Transaccional (Base de Datos: soporte_db).</w:t>
      </w:r>
    </w:p>
    <w:p>
      <w:pPr>
        <w:spacing w:after="60"/>
      </w:pPr>
      <w:r>
        <w:rPr>
          <w:color w:val="334155"/>
          <w:sz w:val="20"/>
        </w:rPr>
        <w:t>Síntoma Reportado: Los usuarios experimentaron tiempos de espera superiores a 30 segundos al intentar radicar y actualizar solicitudes simultáneamente.</w:t>
      </w:r>
    </w:p>
    <w:p>
      <w:pPr>
        <w:spacing w:before="200" w:after="60"/>
      </w:pPr>
      <w:r>
        <w:rPr>
          <w:b/>
          <w:color w:val="0F172A"/>
          <w:sz w:val="23"/>
        </w:rPr>
        <w:t>2. Transacciones Concurrentes en Conflicto</w:t>
      </w:r>
    </w:p>
    <w:p>
      <w:pPr>
        <w:spacing w:after="60"/>
      </w:pPr>
      <w:r>
        <w:rPr>
          <w:color w:val="334155"/>
          <w:sz w:val="20"/>
        </w:rPr>
        <w:t>Transacción 1 (Hilo 4210): UPDATE solicitudes SET estado = 'en_proceso', asignado_a = 'tecnico_demo' WHERE id = 1045 LOCK IN SHARE MODE; reteniendo cerrojos de registro.</w:t>
      </w:r>
    </w:p>
    <w:p>
      <w:pPr>
        <w:spacing w:after="60"/>
      </w:pPr>
      <w:r>
        <w:rPr>
          <w:color w:val="334155"/>
          <w:sz w:val="20"/>
        </w:rPr>
        <w:t>Transacción 2 (Hilo 4218): UPDATE solicitudes SET solucion_ia = '{JSON_DATA}' WHERE id = 1045; esperando liberación del cerrojo exclusivo.</w:t>
      </w:r>
    </w:p>
    <w:p>
      <w:pPr>
        <w:spacing w:after="60"/>
      </w:pPr>
      <w:r>
        <w:rPr>
          <w:color w:val="334155"/>
          <w:sz w:val="20"/>
        </w:rPr>
        <w:t>Resolución Automática del Motor: El motor InnoDB detectó el ciclo de bloqueo y ejecutó ROLLBACK automático sobre la transacción 2 por tener menor footprint de deshacer.</w:t>
      </w:r>
    </w:p>
    <w:p>
      <w:pPr>
        <w:spacing w:before="200" w:after="60"/>
      </w:pPr>
      <w:r>
        <w:rPr>
          <w:b/>
          <w:color w:val="0F172A"/>
          <w:sz w:val="23"/>
        </w:rPr>
        <w:t>3. Medidas Correctivas Adoptadas</w:t>
      </w:r>
    </w:p>
    <w:p>
      <w:pPr>
        <w:spacing w:after="60"/>
      </w:pPr>
      <w:r>
        <w:rPr>
          <w:color w:val="334155"/>
          <w:sz w:val="20"/>
        </w:rPr>
        <w:t>1. Se optimizó el nivel de aislamiento de transacciones de REPEATABLE READ a READ COMMITTED para reducir bloqueos de rango.</w:t>
      </w:r>
    </w:p>
    <w:p>
      <w:pPr>
        <w:spacing w:after="60"/>
      </w:pPr>
      <w:r>
        <w:rPr>
          <w:color w:val="334155"/>
          <w:sz w:val="20"/>
        </w:rPr>
        <w:t>2. Se creó un índice compuesto sobre las columnas (estado, fecha_creacion) para acelerar consultas de actualización.</w:t>
      </w:r>
    </w:p>
    <w:p>
      <w:pPr>
        <w:spacing w:after="60"/>
      </w:pPr>
      <w:r>
        <w:rPr>
          <w:color w:val="334155"/>
          <w:sz w:val="20"/>
        </w:rPr>
        <w:t>3. Se configuró el parámetro innodb_lock_wait_timeout en 15 segundos en el archivo my.cnf.</w:t>
      </w:r>
    </w:p>
    <w:p>
      <w:pPr>
        <w:spacing w:before="320"/>
        <w:jc w:val="center"/>
      </w:pPr>
      <w:r>
        <w:rPr>
          <w:color w:val="94A3B8"/>
          <w:sz w:val="17"/>
        </w:rPr>
        <w:t>TechCare Soporte TI — Repositorio Documental Oficial | Datos 100% Sintéticos y Anonimizados para QA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