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6B3"/>
          <w:sz w:val="26"/>
        </w:rPr>
        <w:t>TECHCARE SOPORTE TI</w:t>
      </w:r>
      <w:r>
        <w:rPr>
          <w:color w:val="64748B"/>
          <w:sz w:val="20"/>
        </w:rPr>
        <w:t xml:space="preserve">  |  Repositorio Documental de Pruebas (QA)</w:t>
      </w:r>
    </w:p>
    <w:p>
      <w:pPr>
        <w:spacing w:before="200" w:after="80"/>
      </w:pPr>
      <w:r>
        <w:rPr>
          <w:b/>
          <w:color w:val="0F172A"/>
          <w:sz w:val="30"/>
        </w:rPr>
        <w:t>Registro de Lote Masivo de Solicitudes de Soporte (Dataset de Prueba)</w:t>
      </w:r>
    </w:p>
    <w:p>
      <w:pPr>
        <w:spacing w:after="200"/>
      </w:pPr>
      <w:r>
        <w:rPr>
          <w:b/>
          <w:color w:val="0056B3"/>
          <w:sz w:val="20"/>
        </w:rPr>
        <w:t xml:space="preserve">Código: </w:t>
      </w:r>
      <w:r>
        <w:rPr>
          <w:sz w:val="20"/>
        </w:rPr>
        <w:t xml:space="preserve">DOC-03   |   </w:t>
      </w:r>
      <w:r>
        <w:rPr>
          <w:b/>
          <w:color w:val="0056B3"/>
          <w:sz w:val="20"/>
        </w:rPr>
        <w:t xml:space="preserve">Categoría: </w:t>
      </w:r>
      <w:r>
        <w:rPr>
          <w:sz w:val="20"/>
        </w:rPr>
        <w:t xml:space="preserve">Reportes de Incidentes y Logs   |   </w:t>
      </w:r>
      <w:r>
        <w:rPr>
          <w:b/>
          <w:color w:val="0056B3"/>
          <w:sz w:val="20"/>
        </w:rPr>
        <w:t xml:space="preserve">Autor/QA: </w:t>
      </w:r>
      <w:r>
        <w:rPr>
          <w:sz w:val="20"/>
        </w:rPr>
        <w:t>Jaider Augusto Niño Badillo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7FF"/>
          </w:tcPr>
          <w:p>
            <w:pPr>
              <w:spacing w:before="80" w:after="80"/>
            </w:pPr>
            <w:r>
              <w:rPr>
                <w:b/>
                <w:color w:val="0056B3"/>
                <w:sz w:val="21"/>
              </w:rPr>
              <w:t>📌 Breve Explicación y Función en las Pruebas:</w:t>
            </w:r>
          </w:p>
          <w:p>
            <w:pPr>
              <w:spacing w:after="80"/>
            </w:pPr>
            <w:r>
              <w:rPr>
                <w:color w:val="1E293B"/>
                <w:sz w:val="20"/>
              </w:rPr>
              <w:t>Contiene un conjunto consolidado de solicitudes de mesa de ayuda simuladas de diversas empresas ficticias y prioridades. Se utiliza en las pruebas para comprobar la ingesta por lotes, el cálculo de métricas en el Dashboard de TechCare (tasa de resolución, distribución por tipo de problema) y la categorización automática por NLP en dominios como RED, SOFTWARE y SEGURIDAD.</w:t>
            </w:r>
          </w:p>
        </w:tc>
      </w:tr>
    </w:tbl>
    <w:p>
      <w:pPr>
        <w:spacing w:before="120" w:after="0"/>
      </w:pPr>
    </w:p>
    <w:p>
      <w:pPr>
        <w:spacing w:before="200" w:after="60"/>
      </w:pPr>
      <w:r>
        <w:rPr>
          <w:b/>
          <w:color w:val="0F172A"/>
          <w:sz w:val="23"/>
        </w:rPr>
        <w:t>1. Descripción del Lote de Datos</w:t>
      </w:r>
    </w:p>
    <w:p>
      <w:pPr>
        <w:spacing w:after="60"/>
      </w:pPr>
      <w:r>
        <w:rPr>
          <w:color w:val="334155"/>
          <w:sz w:val="20"/>
        </w:rPr>
        <w:t>Este conjunto de datos reúne 8 solicitudes representativas del entorno corporativo para someter a prueba la cola de despacho y los filtros del panel gerencial.</w:t>
      </w:r>
    </w:p>
    <w:p>
      <w:pPr>
        <w:spacing w:after="60"/>
      </w:pPr>
      <w:r>
        <w:rPr>
          <w:color w:val="334155"/>
          <w:sz w:val="20"/>
        </w:rPr>
        <w:t>Todos los usuarios son cuentas de prueba sintéticas pertenecientes a empresas ficticias (Distribuidora Central S.A., Almacenes Andinos Ltda., Soluciones Digitales Demo).</w:t>
      </w:r>
    </w:p>
    <w:p>
      <w:pPr>
        <w:spacing w:before="200" w:after="60"/>
      </w:pPr>
      <w:r>
        <w:rPr>
          <w:b/>
          <w:color w:val="0F172A"/>
          <w:sz w:val="23"/>
        </w:rPr>
        <w:t>2. Detalle de los Casos de Prueba Incluidos</w:t>
      </w:r>
    </w:p>
    <w:p>
      <w:pPr>
        <w:spacing w:after="60"/>
      </w:pPr>
      <w:r>
        <w:rPr>
          <w:color w:val="334155"/>
          <w:sz w:val="20"/>
        </w:rPr>
        <w:t>Caso 1 [TCK-1001]: Tipo RED | Prioridad Alta | Asunto: Imposibilidad de conexión a la VPN corporativa desde casa.</w:t>
      </w:r>
    </w:p>
    <w:p>
      <w:pPr>
        <w:spacing w:after="60"/>
      </w:pPr>
      <w:r>
        <w:rPr>
          <w:color w:val="334155"/>
          <w:sz w:val="20"/>
        </w:rPr>
        <w:t>Caso 2 [TCK-1002]: Tipo SOFTWARE | Prioridad Media | Asunto: Alerta en Word sobre expiración inminente de suscripción Office 365.</w:t>
      </w:r>
    </w:p>
    <w:p>
      <w:pPr>
        <w:spacing w:after="60"/>
      </w:pPr>
      <w:r>
        <w:rPr>
          <w:color w:val="334155"/>
          <w:sz w:val="20"/>
        </w:rPr>
        <w:t>Caso 3 [TCK-1003]: Tipo SEGURIDAD | Prioridad Crítica | Asunto: Recepción de correo sospechoso solicitando contraseña corporativa.</w:t>
      </w:r>
    </w:p>
    <w:p>
      <w:pPr>
        <w:spacing w:after="60"/>
      </w:pPr>
      <w:r>
        <w:rPr>
          <w:color w:val="334155"/>
          <w:sz w:val="20"/>
        </w:rPr>
        <w:t>Caso 4 [TCK-1004]: Tipo BASE DE DATOS | Prioridad Alta | Asunto: Timeout al generar el reporte mensual de transacciones.</w:t>
      </w:r>
    </w:p>
    <w:p>
      <w:pPr>
        <w:spacing w:after="60"/>
      </w:pPr>
      <w:r>
        <w:rPr>
          <w:color w:val="334155"/>
          <w:sz w:val="20"/>
        </w:rPr>
        <w:t>Caso 5 [TCK-1005]: Tipo HARDWARE | Prioridad Baja | Asunto: Monitor secundario no enciende tras corte eléctrico.</w:t>
      </w:r>
    </w:p>
    <w:p>
      <w:pPr>
        <w:spacing w:after="60"/>
      </w:pPr>
      <w:r>
        <w:rPr>
          <w:color w:val="334155"/>
          <w:sz w:val="20"/>
        </w:rPr>
        <w:t>Caso 6 [TCK-1006]: Tipo SOFTWARE | Prioridad Alta | Asunto: Falla de sincronización en OneDrive for Business con archivos bloqueados.</w:t>
      </w:r>
    </w:p>
    <w:p>
      <w:pPr>
        <w:spacing w:before="200" w:after="60"/>
      </w:pPr>
      <w:r>
        <w:rPr>
          <w:b/>
          <w:color w:val="0F172A"/>
          <w:sz w:val="23"/>
        </w:rPr>
        <w:t>3. Utilidad en las Pruebas de Calidad</w:t>
      </w:r>
    </w:p>
    <w:p>
      <w:pPr>
        <w:spacing w:after="60"/>
      </w:pPr>
      <w:r>
        <w:rPr>
          <w:color w:val="334155"/>
          <w:sz w:val="20"/>
        </w:rPr>
        <w:t>Permite validar que las gráficas generadas con Chart.js en views/dashboard.php calculen correctamente las proporciones porcentuales y alimenten la analítica prescriptiva de negocio.</w:t>
      </w:r>
    </w:p>
    <w:p>
      <w:pPr>
        <w:spacing w:before="320"/>
        <w:jc w:val="center"/>
      </w:pPr>
      <w:r>
        <w:rPr>
          <w:color w:val="94A3B8"/>
          <w:sz w:val="17"/>
        </w:rPr>
        <w:t>TechCare Soporte TI — Repositorio Documental Oficial | Datos 100% Sintéticos y Anonimizados para QA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