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6B3"/>
          <w:sz w:val="26"/>
        </w:rPr>
        <w:t>TECHCARE SOPORTE TI</w:t>
      </w:r>
      <w:r>
        <w:rPr>
          <w:color w:val="64748B"/>
          <w:sz w:val="20"/>
        </w:rPr>
        <w:t xml:space="preserve">  |  Repositorio Documental de Pruebas (QA)</w:t>
      </w:r>
    </w:p>
    <w:p>
      <w:pPr>
        <w:spacing w:before="200" w:after="80"/>
      </w:pPr>
      <w:r>
        <w:rPr>
          <w:b/>
          <w:color w:val="0F172A"/>
          <w:sz w:val="30"/>
        </w:rPr>
        <w:t>Reporte Forense: Detección y Neutralización de Campaña de Phishing</w:t>
      </w:r>
    </w:p>
    <w:p>
      <w:pPr>
        <w:spacing w:after="200"/>
      </w:pPr>
      <w:r>
        <w:rPr>
          <w:b/>
          <w:color w:val="0056B3"/>
          <w:sz w:val="20"/>
        </w:rPr>
        <w:t xml:space="preserve">Código: </w:t>
      </w:r>
      <w:r>
        <w:rPr>
          <w:sz w:val="20"/>
        </w:rPr>
        <w:t xml:space="preserve">DOC-04   |   </w:t>
      </w:r>
      <w:r>
        <w:rPr>
          <w:b/>
          <w:color w:val="0056B3"/>
          <w:sz w:val="20"/>
        </w:rPr>
        <w:t xml:space="preserve">Categoría: </w:t>
      </w:r>
      <w:r>
        <w:rPr>
          <w:sz w:val="20"/>
        </w:rPr>
        <w:t xml:space="preserve">Reportes de Incidentes y Logs   |   </w:t>
      </w:r>
      <w:r>
        <w:rPr>
          <w:b/>
          <w:color w:val="0056B3"/>
          <w:sz w:val="20"/>
        </w:rPr>
        <w:t xml:space="preserve">Autor/QA: </w:t>
      </w:r>
      <w:r>
        <w:rPr>
          <w:sz w:val="20"/>
        </w:rPr>
        <w:t>Jaider Augusto Niño Badillo</w:t>
      </w:r>
    </w:p>
    <w:tbl>
      <w:tblPr>
        <w:tblW w:type="auto" w:w="0"/>
        <w:jc w:val="center"/>
        <w:tblLayout w:type="fixed"/>
        <w:tblLook w:firstColumn="1" w:firstRow="1" w:lastColumn="0" w:lastRow="0" w:noHBand="0" w:noVBand="1" w:val="04A0"/>
      </w:tblPr>
      <w:tblGrid>
        <w:gridCol w:w="9360"/>
      </w:tblGrid>
      <w:tr>
        <w:tc>
          <w:tcPr>
            <w:tcW w:type="dxa" w:w="9360"/>
            <w:shd w:val="clear" w:color="auto" w:fill="F0F7FF"/>
          </w:tcPr>
          <w:p>
            <w:pPr>
              <w:spacing w:before="80" w:after="80"/>
            </w:pPr>
            <w:r>
              <w:rPr>
                <w:b/>
                <w:color w:val="0056B3"/>
                <w:sz w:val="21"/>
              </w:rPr>
              <w:t>📌 Breve Explicación y Función en las Pruebas:</w:t>
            </w:r>
          </w:p>
          <w:p>
            <w:pPr>
              <w:spacing w:after="80"/>
            </w:pPr>
            <w:r>
              <w:rPr>
                <w:color w:val="1E293B"/>
                <w:sz w:val="20"/>
              </w:rPr>
              <w:t>Informe técnico que documenta el análisis de un correo fraudulento simulado que intentaba suplantar la identidad de Microsoft 365 para robar credenciales. En las pruebas de TechCare, sirve para evaluar la precisión del clasificador de seguridad ante términos como phishing, suplantación, contraseña, 2FA y la recomendación de medidas urgentes como revocación de tokens y aislamiento del endpoint.</w:t>
            </w:r>
          </w:p>
        </w:tc>
      </w:tr>
    </w:tbl>
    <w:p>
      <w:pPr>
        <w:spacing w:before="120" w:after="0"/>
      </w:pPr>
    </w:p>
    <w:p>
      <w:pPr>
        <w:spacing w:before="200" w:after="60"/>
      </w:pPr>
      <w:r>
        <w:rPr>
          <w:b/>
          <w:color w:val="0F172A"/>
          <w:sz w:val="23"/>
        </w:rPr>
        <w:t>1. Información General del Incidente CSIRT-2026-0082</w:t>
      </w:r>
    </w:p>
    <w:p>
      <w:pPr>
        <w:spacing w:after="60"/>
      </w:pPr>
      <w:r>
        <w:rPr>
          <w:color w:val="334155"/>
          <w:sz w:val="20"/>
        </w:rPr>
        <w:t>Fecha de Detección: 02 de Septiembre de 2026 a las 09:35 UTC.</w:t>
      </w:r>
    </w:p>
    <w:p>
      <w:pPr>
        <w:spacing w:after="60"/>
      </w:pPr>
      <w:r>
        <w:rPr>
          <w:color w:val="334155"/>
          <w:sz w:val="20"/>
        </w:rPr>
        <w:t>Vector de Entrada: Correo electrónico suplantando el Centro de Seguridad de Microsoft 365.</w:t>
      </w:r>
    </w:p>
    <w:p>
      <w:pPr>
        <w:spacing w:after="60"/>
      </w:pPr>
      <w:r>
        <w:rPr>
          <w:color w:val="334155"/>
          <w:sz w:val="20"/>
        </w:rPr>
        <w:t>Remitente Simulado: notification-secure-auth@external-fake-portal.net.</w:t>
      </w:r>
    </w:p>
    <w:p>
      <w:pPr>
        <w:spacing w:after="60"/>
      </w:pPr>
      <w:r>
        <w:rPr>
          <w:color w:val="334155"/>
          <w:sz w:val="20"/>
        </w:rPr>
        <w:t>Destinatario Afectado: buzon_contabilidad@empresa-demo.com.</w:t>
      </w:r>
    </w:p>
    <w:p>
      <w:pPr>
        <w:spacing w:before="200" w:after="60"/>
      </w:pPr>
      <w:r>
        <w:rPr>
          <w:b/>
          <w:color w:val="0F172A"/>
          <w:sz w:val="23"/>
        </w:rPr>
        <w:t>2. Análisis de Cabeceras Técnicas del Correo</w:t>
      </w:r>
    </w:p>
    <w:p>
      <w:pPr>
        <w:spacing w:after="60"/>
      </w:pPr>
      <w:r>
        <w:rPr>
          <w:color w:val="334155"/>
          <w:sz w:val="20"/>
        </w:rPr>
        <w:t>SPF Check: FAIL (La dirección IP de origen 198.51.100.89 no está autorizada en el registro SPF del dominio remitente).</w:t>
      </w:r>
    </w:p>
    <w:p>
      <w:pPr>
        <w:spacing w:after="60"/>
      </w:pPr>
      <w:r>
        <w:rPr>
          <w:color w:val="334155"/>
          <w:sz w:val="20"/>
        </w:rPr>
        <w:t>Firma DKIM: Ausente.</w:t>
      </w:r>
    </w:p>
    <w:p>
      <w:pPr>
        <w:spacing w:after="60"/>
      </w:pPr>
      <w:r>
        <w:rPr>
          <w:color w:val="334155"/>
          <w:sz w:val="20"/>
        </w:rPr>
        <w:t>Validación DMARC: FAIL con política de cuarentena activada.</w:t>
      </w:r>
    </w:p>
    <w:p>
      <w:pPr>
        <w:spacing w:after="60"/>
      </w:pPr>
      <w:r>
        <w:rPr>
          <w:color w:val="334155"/>
          <w:sz w:val="20"/>
        </w:rPr>
        <w:t>Enlace Fraudulento Detectado: http://portal-login-verify-auth.fake-security-check.ru/login.</w:t>
      </w:r>
    </w:p>
    <w:p>
      <w:pPr>
        <w:spacing w:before="200" w:after="60"/>
      </w:pPr>
      <w:r>
        <w:rPr>
          <w:b/>
          <w:color w:val="0F172A"/>
          <w:sz w:val="23"/>
        </w:rPr>
        <w:t>3. Acciones de Contención Ejecutadas</w:t>
      </w:r>
    </w:p>
    <w:p>
      <w:pPr>
        <w:spacing w:after="60"/>
      </w:pPr>
      <w:r>
        <w:rPr>
          <w:color w:val="334155"/>
          <w:sz w:val="20"/>
        </w:rPr>
        <w:t>1. Bloqueo inmediato de la IP de origen y del dominio malicioso en el Firewall y filtro DNS corporativo.</w:t>
      </w:r>
    </w:p>
    <w:p>
      <w:pPr>
        <w:spacing w:after="60"/>
      </w:pPr>
      <w:r>
        <w:rPr>
          <w:color w:val="334155"/>
          <w:sz w:val="20"/>
        </w:rPr>
        <w:t>2. Purgado automatizado de todos los buzones de correo para eliminar mensajes idénticos recibidos.</w:t>
      </w:r>
    </w:p>
    <w:p>
      <w:pPr>
        <w:spacing w:after="60"/>
      </w:pPr>
      <w:r>
        <w:rPr>
          <w:color w:val="334155"/>
          <w:sz w:val="20"/>
        </w:rPr>
        <w:t>3. Forzado de cambio de contraseña y revocación de sesiones OAuth del usuario mediante script de PowerShell.</w:t>
      </w:r>
    </w:p>
    <w:p>
      <w:pPr>
        <w:spacing w:before="320"/>
        <w:jc w:val="center"/>
      </w:pPr>
      <w:r>
        <w:rPr>
          <w:color w:val="94A3B8"/>
          <w:sz w:val="17"/>
        </w:rPr>
        <w:t>TechCare Soporte TI — Repositorio Documental Oficial | Datos 100% Sintéticos y Anonimizados para QA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