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Reporte de Conmutación por Falla: Corte de Enlace Principal de Fibra Óptica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DOC-06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Reportes de Incidentes y Logs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Documenta la pérdida del enlace de datos principal suministrado por el proveedor de telecomunicaciones y la conmutación exitosa al radioenlace de contingencia. Se utiliza para probar el módulo de recomendaciones de infraestructura de TechCare (inversión en enlaces redundantes y monitoreo proactivo NOC).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Resumen de la Falla del Proveedor ISP</w:t>
      </w:r>
    </w:p>
    <w:p>
      <w:pPr>
        <w:spacing w:after="60"/>
      </w:pPr>
      <w:r>
        <w:rPr>
          <w:color w:val="334155"/>
          <w:sz w:val="20"/>
        </w:rPr>
        <w:t>Dispositivo: Router-Core-Borde-01 (Interfaz GigabitEthernet0/0/1).</w:t>
      </w:r>
    </w:p>
    <w:p>
      <w:pPr>
        <w:spacing w:after="60"/>
      </w:pPr>
      <w:r>
        <w:rPr>
          <w:color w:val="334155"/>
          <w:sz w:val="20"/>
        </w:rPr>
        <w:t>Duración del Corte: 70.5 minutos (de 03:15 a 04:25 UTC).</w:t>
      </w:r>
    </w:p>
    <w:p>
      <w:pPr>
        <w:spacing w:after="60"/>
      </w:pPr>
      <w:r>
        <w:rPr>
          <w:color w:val="334155"/>
          <w:sz w:val="20"/>
        </w:rPr>
        <w:t>Causa Externa: Ruptura física de fibra óptica aérea por trabajos viales de terceros.</w:t>
      </w:r>
    </w:p>
    <w:p>
      <w:pPr>
        <w:spacing w:before="200" w:after="60"/>
      </w:pPr>
      <w:r>
        <w:rPr>
          <w:b/>
          <w:color w:val="0F172A"/>
          <w:sz w:val="23"/>
        </w:rPr>
        <w:t>2. Comportamiento del Mecanismo de Alta Disponibilidad</w:t>
      </w:r>
    </w:p>
    <w:p>
      <w:pPr>
        <w:spacing w:after="60"/>
      </w:pPr>
      <w:r>
        <w:rPr>
          <w:color w:val="334155"/>
          <w:sz w:val="20"/>
        </w:rPr>
        <w:t>El protocolo de enrutamiento dinámico conmutó el tráfico al radioenlace secundario de microondas en 4.2 segundos.</w:t>
      </w:r>
    </w:p>
    <w:p>
      <w:pPr>
        <w:spacing w:after="60"/>
      </w:pPr>
      <w:r>
        <w:rPr>
          <w:color w:val="334155"/>
          <w:sz w:val="20"/>
        </w:rPr>
        <w:t>Durante la contingencia se registró una pérdida de paquetes promedio del 2.1%, garantizando la operación continua de la mesa de ayuda TechCare.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