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56B3"/>
          <w:sz w:val="26"/>
        </w:rPr>
        <w:t>TECHCARE SOPORTE TI</w:t>
      </w:r>
      <w:r>
        <w:rPr>
          <w:color w:val="64748B"/>
          <w:sz w:val="20"/>
        </w:rPr>
        <w:t xml:space="preserve">  |  Repositorio Documental de Pruebas (QA)</w:t>
      </w:r>
    </w:p>
    <w:p>
      <w:pPr>
        <w:spacing w:before="200" w:after="80"/>
      </w:pPr>
      <w:r>
        <w:rPr>
          <w:b/>
          <w:color w:val="0F172A"/>
          <w:sz w:val="30"/>
        </w:rPr>
        <w:t>Informe Forense: Simulacro Controlado de Contención de Malware</w:t>
      </w:r>
    </w:p>
    <w:p>
      <w:pPr>
        <w:spacing w:after="200"/>
      </w:pPr>
      <w:r>
        <w:rPr>
          <w:b/>
          <w:color w:val="0056B3"/>
          <w:sz w:val="20"/>
        </w:rPr>
        <w:t xml:space="preserve">Código: </w:t>
      </w:r>
      <w:r>
        <w:rPr>
          <w:sz w:val="20"/>
        </w:rPr>
        <w:t xml:space="preserve">DOC-09   |   </w:t>
      </w:r>
      <w:r>
        <w:rPr>
          <w:b/>
          <w:color w:val="0056B3"/>
          <w:sz w:val="20"/>
        </w:rPr>
        <w:t xml:space="preserve">Categoría: </w:t>
      </w:r>
      <w:r>
        <w:rPr>
          <w:sz w:val="20"/>
        </w:rPr>
        <w:t xml:space="preserve">Reportes de Incidentes y Logs   |   </w:t>
      </w:r>
      <w:r>
        <w:rPr>
          <w:b/>
          <w:color w:val="0056B3"/>
          <w:sz w:val="20"/>
        </w:rPr>
        <w:t xml:space="preserve">Autor/QA: </w:t>
      </w:r>
      <w:r>
        <w:rPr>
          <w:sz w:val="20"/>
        </w:rPr>
        <w:t>Jaider Augusto Niño Badillo</w:t>
      </w:r>
    </w:p>
    <w:tbl>
      <w:tblPr>
        <w:tblW w:type="auto" w:w="0"/>
        <w:jc w:val="center"/>
        <w:tblLayout w:type="fixed"/>
        <w:tblLook w:firstColumn="1" w:firstRow="1" w:lastColumn="0" w:lastRow="0" w:noHBand="0" w:noVBand="1" w:val="04A0"/>
      </w:tblPr>
      <w:tblGrid>
        <w:gridCol w:w="9360"/>
      </w:tblGrid>
      <w:tr>
        <w:tc>
          <w:tcPr>
            <w:tcW w:type="dxa" w:w="9360"/>
            <w:shd w:val="clear" w:color="auto" w:fill="F0F7FF"/>
          </w:tcPr>
          <w:p>
            <w:pPr>
              <w:spacing w:before="80" w:after="80"/>
            </w:pPr>
            <w:r>
              <w:rPr>
                <w:b/>
                <w:color w:val="0056B3"/>
                <w:sz w:val="21"/>
              </w:rPr>
              <w:t>📌 Breve Explicación y Función en las Pruebas:</w:t>
            </w:r>
          </w:p>
          <w:p>
            <w:pPr>
              <w:spacing w:after="80"/>
            </w:pPr>
            <w:r>
              <w:rPr>
                <w:color w:val="1E293B"/>
                <w:sz w:val="20"/>
              </w:rPr>
              <w:t>Reporte de ejercicio de ciberseguridad donde se evaluaron los protocolos de respuesta ante malware tipo ransomware. Se utiliza para contrastar las recomendaciones emitidas por la IA contra las mejores prácticas de aislamiento físico y recuperación de copias sombra (VSS).</w:t>
            </w:r>
          </w:p>
        </w:tc>
      </w:tr>
    </w:tbl>
    <w:p>
      <w:pPr>
        <w:spacing w:before="120" w:after="0"/>
      </w:pPr>
    </w:p>
    <w:p>
      <w:pPr>
        <w:spacing w:before="200" w:after="60"/>
      </w:pPr>
      <w:r>
        <w:rPr>
          <w:b/>
          <w:color w:val="0F172A"/>
          <w:sz w:val="23"/>
        </w:rPr>
        <w:t>1. Objetivos del Simulacro</w:t>
      </w:r>
    </w:p>
    <w:p>
      <w:pPr>
        <w:spacing w:after="60"/>
      </w:pPr>
      <w:r>
        <w:rPr>
          <w:color w:val="334155"/>
          <w:sz w:val="20"/>
        </w:rPr>
        <w:t>Medir el tiempo de respuesta del equipo de soporte TI para contener una amenaza activa en un endpoint de pruebas sin conexión a la red de producción.</w:t>
      </w:r>
    </w:p>
    <w:p>
      <w:pPr>
        <w:spacing w:before="200" w:after="60"/>
      </w:pPr>
      <w:r>
        <w:rPr>
          <w:b/>
          <w:color w:val="0F172A"/>
          <w:sz w:val="23"/>
        </w:rPr>
        <w:t>2. Resultados Obtenidos</w:t>
      </w:r>
    </w:p>
    <w:p>
      <w:pPr>
        <w:spacing w:after="60"/>
      </w:pPr>
      <w:r>
        <w:rPr>
          <w:color w:val="334155"/>
          <w:sz w:val="20"/>
        </w:rPr>
        <w:t>Tiempo de aislamiento de red: 1.8 minutos mediante desconexión de interfaz.</w:t>
      </w:r>
    </w:p>
    <w:p>
      <w:pPr>
        <w:spacing w:after="60"/>
      </w:pPr>
      <w:r>
        <w:rPr>
          <w:color w:val="334155"/>
          <w:sz w:val="20"/>
        </w:rPr>
        <w:t>Tiempo de identificación del proceso malicioso: 3 minutos.</w:t>
      </w:r>
    </w:p>
    <w:p>
      <w:pPr>
        <w:spacing w:after="60"/>
      </w:pPr>
      <w:r>
        <w:rPr>
          <w:color w:val="334155"/>
          <w:sz w:val="20"/>
        </w:rPr>
        <w:t>Tiempo total de recuperación del equipo desde backup limpio: 14 minutos.</w:t>
      </w:r>
    </w:p>
    <w:p>
      <w:pPr>
        <w:spacing w:before="320"/>
        <w:jc w:val="center"/>
      </w:pPr>
      <w:r>
        <w:rPr>
          <w:color w:val="94A3B8"/>
          <w:sz w:val="17"/>
        </w:rPr>
        <w:t>TechCare Soporte TI — Repositorio Documental Oficial | Datos 100% Sintéticos y Anonimizados para QA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