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Catálogo Estructurado de Errores Frecuentes y Soluciones de Mesa de Ayuda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DOC-15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Procedimientos Operativos Estándar (SOP)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Diccionario de incidentes típicos y códigos de error (VPN timeout, token dañado, max_connections). Se utiliza para probar la precisión de búsqueda semántica y respuestas guiadas en la base de conocimientos.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Código ERR_NET_001 (Falla de Handshake VPN)</w:t>
      </w:r>
    </w:p>
    <w:p>
      <w:pPr>
        <w:spacing w:after="60"/>
      </w:pPr>
      <w:r>
        <w:rPr>
          <w:color w:val="334155"/>
          <w:sz w:val="20"/>
        </w:rPr>
        <w:t>Causa: Discrepancia en parámetros de encriptación o bloqueo de puerto 443 en red doméstica.</w:t>
      </w:r>
    </w:p>
    <w:p>
      <w:pPr>
        <w:spacing w:after="60"/>
      </w:pPr>
      <w:r>
        <w:rPr>
          <w:color w:val="334155"/>
          <w:sz w:val="20"/>
        </w:rPr>
        <w:t>Solución: Modificar MTU a 1400 y reiniciar el adaptador virtual de red.</w:t>
      </w:r>
    </w:p>
    <w:p>
      <w:pPr>
        <w:spacing w:before="200" w:after="60"/>
      </w:pPr>
      <w:r>
        <w:rPr>
          <w:b/>
          <w:color w:val="0F172A"/>
          <w:sz w:val="23"/>
        </w:rPr>
        <w:t>2. Código ERR_AUTH_002 (Token de Sesión JWT Corrupto)</w:t>
      </w:r>
    </w:p>
    <w:p>
      <w:pPr>
        <w:spacing w:after="60"/>
      </w:pPr>
      <w:r>
        <w:rPr>
          <w:color w:val="334155"/>
          <w:sz w:val="20"/>
        </w:rPr>
        <w:t>Causa: Desfase de reloj local mayor a 5 minutos respecto al servidor NTP.</w:t>
      </w:r>
    </w:p>
    <w:p>
      <w:pPr>
        <w:spacing w:after="60"/>
      </w:pPr>
      <w:r>
        <w:rPr>
          <w:color w:val="334155"/>
          <w:sz w:val="20"/>
        </w:rPr>
        <w:t>Solución: Sincronizar hora del sistema con w32tm /resync y limpiar cookies del navegador.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