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POL-SEC-01: Política Corporativa de Contraseñas y Autenticación Multifactor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DOC-21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Políticas de Seguridad y Acuerdos SLA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Normativa de seguridad que define los requisitos de robustez de contraseñas (12+ caracteres, mayúsculas, símbolos) y la obligatoriedad de MFA. Valida los requisitos no funcionales de seguridad y el uso de BCRYPT en TechCare.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Directrices Obligatorias de Autenticación</w:t>
      </w:r>
    </w:p>
    <w:p>
      <w:pPr>
        <w:spacing w:after="60"/>
      </w:pPr>
      <w:r>
        <w:rPr>
          <w:color w:val="334155"/>
          <w:sz w:val="20"/>
        </w:rPr>
        <w:t>Longitud mínima de 12 caracteres con combinación de números, letras y símbolos especiales.</w:t>
      </w:r>
    </w:p>
    <w:p>
      <w:pPr>
        <w:spacing w:after="60"/>
      </w:pPr>
      <w:r>
        <w:rPr>
          <w:color w:val="334155"/>
          <w:sz w:val="20"/>
        </w:rPr>
        <w:t>Rotación obligatoria cada 90 días calendario con restricción de reutilización de las últimas 10 claves.</w:t>
      </w:r>
    </w:p>
    <w:p>
      <w:pPr>
        <w:spacing w:after="60"/>
      </w:pPr>
      <w:r>
        <w:rPr>
          <w:color w:val="334155"/>
          <w:sz w:val="20"/>
        </w:rPr>
        <w:t>Autenticación Multifactor (MFA) obligatoria para acceso a correo corporativo y sistemas internos.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