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Plan de Continuidad del Negocio (BCP) y Recuperación ante Desastres de TI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DOC-25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Políticas de Seguridad y Acuerdos SLA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Estrategia para garantizar la operación continua de la mesa de ayuda ante fallos mayores, estableciendo un RTO de 2 horas y RPO de 15 minutos, y destacando el papel del motor local offline.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Objetivos de Recuperación</w:t>
      </w:r>
    </w:p>
    <w:p>
      <w:pPr>
        <w:spacing w:after="60"/>
      </w:pPr>
      <w:r>
        <w:rPr>
          <w:color w:val="334155"/>
          <w:sz w:val="20"/>
        </w:rPr>
        <w:t>RTO (Recovery Time Objective): Restablecimiento de servicios de soporte en menos de 120 minutos.</w:t>
      </w:r>
    </w:p>
    <w:p>
      <w:pPr>
        <w:spacing w:after="60"/>
      </w:pPr>
      <w:r>
        <w:rPr>
          <w:color w:val="334155"/>
          <w:sz w:val="20"/>
        </w:rPr>
        <w:t>RPO (Recovery Point Objective): Pérdida máxima de datos de 15 minutos mediante respaldos continuos.</w:t>
      </w:r>
    </w:p>
    <w:p>
      <w:pPr>
        <w:spacing w:after="60"/>
      </w:pPr>
      <w:r>
        <w:rPr>
          <w:color w:val="334155"/>
          <w:sz w:val="20"/>
        </w:rPr>
        <w:t>Contingencia Offline: Funcionamiento del motor heurístico local sin requerir conexión a la nube de Google.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