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1" w:lineRule="auto"/>
        <w:jc w:val="center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Informe de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4" w:line="259" w:lineRule="auto"/>
        <w:ind w:firstLine="180"/>
        <w:jc w:val="both"/>
        <w:rPr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  <w:rtl w:val="0"/>
        </w:rPr>
        <w:t xml:space="preserve">La subida de este documento</w:t>
      </w: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  <w:u w:val="single"/>
          <w:rtl w:val="0"/>
        </w:rPr>
        <w:t xml:space="preserve"> firmado </w:t>
      </w: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  <w:rtl w:val="0"/>
        </w:rPr>
        <w:t xml:space="preserve">al repositorio es obligatoria para acceder a la sustentación y debe hacerse a más tardar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1" w:line="259" w:lineRule="auto"/>
        <w:ind w:firstLine="2520"/>
        <w:jc w:val="both"/>
        <w:rPr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  <w:rtl w:val="0"/>
        </w:rPr>
        <w:t xml:space="preserve">día anterior a la misma. Es obligatorio solo para entregas en pareja.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72" w:lineRule="auto"/>
        <w:ind w:firstLine="0"/>
        <w:jc w:val="both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2540"/>
        <w:gridCol w:w="2540"/>
        <w:gridCol w:w="2560"/>
        <w:gridCol w:w="2560"/>
        <w:tblGridChange w:id="0">
          <w:tblGrid>
            <w:gridCol w:w="2540"/>
            <w:gridCol w:w="2540"/>
            <w:gridCol w:w="2560"/>
            <w:gridCol w:w="25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ind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Nombre del componente desarrollado (clase,métodos o funciones)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ind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Descripción breve de dicho 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ind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Porcentaje de complejidad respecto al desarrollo 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ind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Desarrollador principal (nombre de sólo una persona)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funcion imprimirDatos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Imprime los datos acumulados por la pantalla lcd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Alexander Osorio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condicional  Encendido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Calcula valor máximo, mínimo y amplitud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ind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Jaider Bedoya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condicional ciclo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toma valores de onda, en un segundo y hace el análisis para calcular frecuencia, y tipo de 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Alexander Osorio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194" w:line="215" w:lineRule="auto"/>
        <w:ind w:firstLine="40"/>
        <w:jc w:val="both"/>
        <w:rPr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5"/>
          <w:szCs w:val="15"/>
          <w:rtl w:val="0"/>
        </w:rPr>
        <w:t xml:space="preserve">Tabla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70" w:lineRule="auto"/>
        <w:ind w:firstLine="0"/>
        <w:jc w:val="both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6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3380"/>
        <w:gridCol w:w="4200"/>
        <w:gridCol w:w="2580"/>
        <w:tblGridChange w:id="0">
          <w:tblGrid>
            <w:gridCol w:w="3380"/>
            <w:gridCol w:w="4200"/>
            <w:gridCol w:w="25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Nombre del integrante (Una fila por integrante del equipo)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Nombre de todos los componentes desarrollados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ind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Porcentaje total desarrollado (la suma de los items es 100))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Alexander Osorio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función imprimirDatos, condicional ciclo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Jaider Bedoya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condicional Encendido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ind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ind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ind w:firstLine="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47" w:line="259" w:lineRule="auto"/>
        <w:ind w:firstLine="60"/>
        <w:jc w:val="both"/>
        <w:rPr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  <w:rtl w:val="0"/>
        </w:rPr>
        <w:t xml:space="preserve">Nombre y firma autógrafa del integrante 1:</w:t>
      </w: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  <w:u w:val="single"/>
          <w:rtl w:val="0"/>
        </w:rPr>
        <w:t xml:space="preserve">         Alexander Osorio               </w:t>
      </w: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  <w:rtl w:val="0"/>
        </w:rPr>
        <w:t xml:space="preserve">            Nombre y firma autógrafa del integrante 2:</w:t>
      </w: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  <w:u w:val="single"/>
          <w:rtl w:val="0"/>
        </w:rPr>
        <w:t xml:space="preserve">              Jaider Bedoya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9" w:line="273" w:lineRule="auto"/>
        <w:ind w:left="60" w:right="240" w:firstLine="0"/>
        <w:jc w:val="both"/>
        <w:rPr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5"/>
          <w:szCs w:val="15"/>
          <w:rtl w:val="0"/>
        </w:rPr>
        <w:t xml:space="preserve">Nota:</w:t>
      </w:r>
      <w:r w:rsidDel="00000000" w:rsidR="00000000" w:rsidRPr="00000000">
        <w:rPr>
          <w:rFonts w:ascii="Calibri" w:cs="Calibri" w:eastAsia="Calibri" w:hAnsi="Calibri"/>
          <w:color w:val="000000"/>
          <w:sz w:val="15"/>
          <w:szCs w:val="15"/>
          <w:rtl w:val="0"/>
        </w:rPr>
        <w:t xml:space="preserve"> La repartición de responsabilidades especificada en este formato no exime a ninguno de los miembros del equipo de la responsabilidad </w:t>
        <w:br w:type="textWrapping"/>
        <w:t xml:space="preserve">de conocer y explicar el análisis y diseño de las estrategias que fundamentan toda la solución entregada.</w:t>
      </w:r>
      <w:r w:rsidDel="00000000" w:rsidR="00000000" w:rsidRPr="00000000">
        <w:rPr>
          <w:rtl w:val="0"/>
        </w:rPr>
      </w:r>
    </w:p>
    <w:sectPr>
      <w:pgSz w:h="8420" w:w="11900" w:orient="landscape"/>
      <w:pgMar w:bottom="960" w:top="960" w:left="720" w:right="720" w:header="480" w:footer="4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