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sz w:val="80"/>
          <w:szCs w:val="80"/>
          <w:rtl w:val="0"/>
        </w:rPr>
        <w:t xml:space="preserve">Laboratorio Modelo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center"/>
        <w:rPr/>
      </w:pPr>
      <w:r w:rsidDel="00000000" w:rsidR="00000000" w:rsidRPr="00000000">
        <w:rPr>
          <w:b w:val="1"/>
          <w:sz w:val="38"/>
          <w:szCs w:val="38"/>
          <w:rtl w:val="0"/>
        </w:rPr>
        <w:t xml:space="preserve">Diseño de base de datos (Modelo y diccionario de datos)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Jueves</w:t>
      </w:r>
      <w:r w:rsidDel="00000000" w:rsidR="00000000" w:rsidRPr="00000000">
        <w:rPr>
          <w:rtl w:val="0"/>
        </w:rPr>
        <w:t xml:space="preserve">, Marzo 27  / 2025 - Viernes, Marzo 28  / 2025</w:t>
      </w:r>
    </w:p>
    <w:p w:rsidR="00000000" w:rsidDel="00000000" w:rsidP="00000000" w:rsidRDefault="00000000" w:rsidRPr="00000000" w14:paraId="0000000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Entregables para cada base de datos:</w:t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="4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Al proporcionar esta documentación, se brinda a los usuarios una comprensión completa de la estructura y el funcionamiento de la base de datos, lo que facilita su uso y mantenimiento adecuados.</w:t>
      </w:r>
    </w:p>
    <w:p w:rsidR="00000000" w:rsidDel="00000000" w:rsidP="00000000" w:rsidRDefault="00000000" w:rsidRPr="00000000" w14:paraId="00000009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line="48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Modelo </w:t>
      </w:r>
      <w:r w:rsidDel="00000000" w:rsidR="00000000" w:rsidRPr="00000000">
        <w:rPr>
          <w:highlight w:val="cyan"/>
          <w:rtl w:val="0"/>
        </w:rPr>
        <w:t xml:space="preserve">relacional </w:t>
      </w:r>
      <w:r w:rsidDel="00000000" w:rsidR="00000000" w:rsidRPr="00000000">
        <w:rPr>
          <w:rtl w:val="0"/>
        </w:rPr>
        <w:t xml:space="preserve">creado en MySQL Workbench (imagen y proyecto mysql workbench).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line="480" w:lineRule="auto"/>
        <w:ind w:left="1440" w:hanging="360"/>
        <w:jc w:val="both"/>
      </w:pPr>
      <w:r w:rsidDel="00000000" w:rsidR="00000000" w:rsidRPr="00000000">
        <w:rPr>
          <w:highlight w:val="green"/>
          <w:rtl w:val="0"/>
        </w:rPr>
        <w:t xml:space="preserve">Diccionario </w:t>
      </w:r>
      <w:r w:rsidDel="00000000" w:rsidR="00000000" w:rsidRPr="00000000">
        <w:rPr>
          <w:rtl w:val="0"/>
        </w:rPr>
        <w:t xml:space="preserve">de datos (</w:t>
      </w:r>
      <w:r w:rsidDel="00000000" w:rsidR="00000000" w:rsidRPr="00000000">
        <w:rPr>
          <w:b w:val="1"/>
          <w:color w:val="ff0000"/>
          <w:rtl w:val="0"/>
        </w:rPr>
        <w:t xml:space="preserve">generado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line="48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Archivo </w:t>
      </w:r>
      <w:r w:rsidDel="00000000" w:rsidR="00000000" w:rsidRPr="00000000">
        <w:rPr>
          <w:highlight w:val="magenta"/>
          <w:rtl w:val="0"/>
        </w:rPr>
        <w:t xml:space="preserve">excel </w:t>
      </w:r>
      <w:r w:rsidDel="00000000" w:rsidR="00000000" w:rsidRPr="00000000">
        <w:rPr>
          <w:rtl w:val="0"/>
        </w:rPr>
        <w:t xml:space="preserve">con los datos de prueba de casa base de datos </w:t>
      </w:r>
      <w:r w:rsidDel="00000000" w:rsidR="00000000" w:rsidRPr="00000000">
        <w:rPr>
          <w:shd w:fill="ff9900" w:val="clear"/>
          <w:rtl w:val="0"/>
        </w:rPr>
        <w:t xml:space="preserve">(10 registros </w:t>
      </w:r>
      <w:r w:rsidDel="00000000" w:rsidR="00000000" w:rsidRPr="00000000">
        <w:rPr>
          <w:rtl w:val="0"/>
        </w:rPr>
        <w:t xml:space="preserve">por cada tabla).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Actividad </w:t>
      </w:r>
      <w:r w:rsidDel="00000000" w:rsidR="00000000" w:rsidRPr="00000000">
        <w:rPr>
          <w:b w:val="1"/>
          <w:i w:val="1"/>
          <w:color w:val="ff0000"/>
          <w:sz w:val="26"/>
          <w:szCs w:val="26"/>
          <w:rtl w:val="0"/>
        </w:rPr>
        <w:t xml:space="preserve">Individual </w:t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Base de datos No 1 - Países</w:t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shd w:fill="ff9900" w:val="clear"/>
          <w:rtl w:val="0"/>
        </w:rPr>
        <w:t xml:space="preserve">ISO 3166-1</w:t>
      </w:r>
      <w:r w:rsidDel="00000000" w:rsidR="00000000" w:rsidRPr="00000000">
        <w:rPr>
          <w:rtl w:val="0"/>
        </w:rPr>
        <w:t xml:space="preserve"> es la primera parte del estándar internacional de normalización ISO 3166, publicado por la Organización Internacional de Normalización (ISO), que proporciona códigos para los nombres de países y otras dependencias administrativas.</w:t>
      </w:r>
    </w:p>
    <w:p w:rsidR="00000000" w:rsidDel="00000000" w:rsidP="00000000" w:rsidRDefault="00000000" w:rsidRPr="00000000" w14:paraId="00000012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En la actualidad, la ISO 3166-1 es uno de los estándares mundiales más conocidos y ampliamente utilizados para la codificación de nombres de países. El uso de un código de letras y/o números para representar el nombre de un país puede ayudar a ahorrar tiempo y energía, y reducir la tasa de error.</w:t>
      </w:r>
    </w:p>
    <w:p w:rsidR="00000000" w:rsidDel="00000000" w:rsidP="00000000" w:rsidRDefault="00000000" w:rsidRPr="00000000" w14:paraId="0000001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versión más reciente de la norma es ISO 3166-1:2013, Códigos para la representación de nombres de países y sus subdivisiones - Parte 1: Códigos de los países. Esta norma define tres tipos de códigos de país:</w:t>
      </w:r>
    </w:p>
    <w:p w:rsidR="00000000" w:rsidDel="00000000" w:rsidP="00000000" w:rsidRDefault="00000000" w:rsidRPr="00000000" w14:paraId="0000001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ISO 3166-1 alfa-2</w:t>
      </w:r>
      <w:r w:rsidDel="00000000" w:rsidR="00000000" w:rsidRPr="00000000">
        <w:rPr>
          <w:rtl w:val="0"/>
        </w:rPr>
        <w:t xml:space="preserve">: Códigos de país de dos letras. Se recomienda como el código de propósito general. Estos códigos se utilizan por ejemplo en internet como dominios geográficos de nivel superior.</w:t>
      </w:r>
    </w:p>
    <w:p w:rsidR="00000000" w:rsidDel="00000000" w:rsidP="00000000" w:rsidRDefault="00000000" w:rsidRPr="00000000" w14:paraId="00000018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ISO 3166-1 alfa-3:</w:t>
      </w:r>
      <w:r w:rsidDel="00000000" w:rsidR="00000000" w:rsidRPr="00000000">
        <w:rPr>
          <w:rtl w:val="0"/>
        </w:rPr>
        <w:t xml:space="preserve"> Códigos de país de tres letras. Está más estrechamente relacionado con el nombre del país, lo que permite una mejor identificación.</w:t>
      </w:r>
    </w:p>
    <w:p w:rsidR="00000000" w:rsidDel="00000000" w:rsidP="00000000" w:rsidRDefault="00000000" w:rsidRPr="00000000" w14:paraId="0000001A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ISO 3166-1 numérico</w:t>
      </w:r>
      <w:r w:rsidDel="00000000" w:rsidR="00000000" w:rsidRPr="00000000">
        <w:rPr>
          <w:rtl w:val="0"/>
        </w:rPr>
        <w:t xml:space="preserve">: Códigos de país de tres dígitos. Desarrollados y asignados por la División de Estadística de las Naciones Unidas. Pueden ser útiles cuando los códigos deban ser entendidos en los países que no utilizan el alfabeto latino.</w:t>
      </w:r>
    </w:p>
    <w:p w:rsidR="00000000" w:rsidDel="00000000" w:rsidP="00000000" w:rsidRDefault="00000000" w:rsidRPr="00000000" w14:paraId="0000001C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052400" cy="4533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Cree el modelo de bases de datos que permita almacenar la información de los diferentes países estandarizados en la </w:t>
      </w:r>
      <w:r w:rsidDel="00000000" w:rsidR="00000000" w:rsidRPr="00000000">
        <w:rPr>
          <w:b w:val="1"/>
          <w:rtl w:val="0"/>
        </w:rPr>
        <w:t xml:space="preserve">ISO 3166-1 </w:t>
      </w:r>
    </w:p>
    <w:p w:rsidR="00000000" w:rsidDel="00000000" w:rsidP="00000000" w:rsidRDefault="00000000" w:rsidRPr="00000000" w14:paraId="00000020">
      <w:pPr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Referencia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https://es.wikipedia.org/wiki/ISO_3166-1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2 - Ciudades</w:t>
      </w:r>
    </w:p>
    <w:p w:rsidR="00000000" w:rsidDel="00000000" w:rsidP="00000000" w:rsidRDefault="00000000" w:rsidRPr="00000000" w14:paraId="00000026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9525" cy="252308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2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Con el objetivo de facilitar el análisis y la consulta de datos, promoviendo una mejor comprensión del contexto urbano colombiano, se debe crear un modelo relacional para una base de datos que registre y gestione información sobre las ciudades de Colombia. El modelo debe contemplar aspectos geográficos, demográficos, socioeconómicos y culturales.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right"/>
        <w:rPr>
          <w:b w:val="1"/>
        </w:rPr>
      </w:pPr>
      <w:hyperlink r:id="rId9">
        <w:r w:rsidDel="00000000" w:rsidR="00000000" w:rsidRPr="00000000">
          <w:rPr>
            <w:i w:val="1"/>
            <w:color w:val="1155cc"/>
            <w:sz w:val="14"/>
            <w:szCs w:val="14"/>
            <w:u w:val="single"/>
            <w:rtl w:val="0"/>
          </w:rPr>
          <w:t xml:space="preserve">https://es.wikipedia.org/wiki/Anexo:Municipios_de_Colombia_por_poblaci%C3%B3n</w:t>
        </w:r>
      </w:hyperlink>
      <w:r w:rsidDel="00000000" w:rsidR="00000000" w:rsidRPr="00000000">
        <w:rPr>
          <w:i w:val="1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3 - Localidades</w:t>
      </w:r>
    </w:p>
    <w:p w:rsidR="00000000" w:rsidDel="00000000" w:rsidP="00000000" w:rsidRDefault="00000000" w:rsidRPr="00000000" w14:paraId="0000002C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3032125</wp:posOffset>
            </wp:positionH>
            <wp:positionV relativeFrom="paragraph">
              <wp:posOffset>164512</wp:posOffset>
            </wp:positionV>
            <wp:extent cx="1202963" cy="266636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2963" cy="266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Bogotá es la extensa capital en altura de Colombia.  El Distrito Capital de Bogotá está dividido e</w:t>
      </w:r>
      <w:r w:rsidDel="00000000" w:rsidR="00000000" w:rsidRPr="00000000">
        <w:rPr>
          <w:highlight w:val="yellow"/>
          <w:rtl w:val="0"/>
        </w:rPr>
        <w:t xml:space="preserve">n 20 localidades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green"/>
          <w:rtl w:val="0"/>
        </w:rPr>
        <w:t xml:space="preserve">19 urbanas</w:t>
      </w:r>
      <w:r w:rsidDel="00000000" w:rsidR="00000000" w:rsidRPr="00000000">
        <w:rPr>
          <w:rtl w:val="0"/>
        </w:rPr>
        <w:t xml:space="preserve"> y una </w:t>
      </w:r>
      <w:r w:rsidDel="00000000" w:rsidR="00000000" w:rsidRPr="00000000">
        <w:rPr>
          <w:shd w:fill="4a86e8" w:val="clear"/>
          <w:rtl w:val="0"/>
        </w:rPr>
        <w:t xml:space="preserve">rural</w:t>
      </w:r>
      <w:r w:rsidDel="00000000" w:rsidR="00000000" w:rsidRPr="00000000">
        <w:rPr>
          <w:rtl w:val="0"/>
        </w:rPr>
        <w:t xml:space="preserve">. Varias de estas fueron en su tiempo municipios contiguos a la capital de Colombia.</w:t>
      </w:r>
    </w:p>
    <w:p w:rsidR="00000000" w:rsidDel="00000000" w:rsidP="00000000" w:rsidRDefault="00000000" w:rsidRPr="00000000" w14:paraId="0000003E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Actualmente, la gestión de la Administración Distrital, en el marco de un proyecto para desarrollar un sistema de información geográfica destinado a la ciudad de Bogotá, requiere la elaboración </w:t>
      </w:r>
      <w:r w:rsidDel="00000000" w:rsidR="00000000" w:rsidRPr="00000000">
        <w:rPr>
          <w:shd w:fill="ff9900" w:val="clear"/>
          <w:rtl w:val="0"/>
        </w:rPr>
        <w:t xml:space="preserve">de un modelo relacional</w:t>
      </w:r>
      <w:r w:rsidDel="00000000" w:rsidR="00000000" w:rsidRPr="00000000">
        <w:rPr>
          <w:rtl w:val="0"/>
        </w:rPr>
        <w:t xml:space="preserve"> de base de datos que permita la gestión eficiente de información relacionada con las localidades de la ciudad. Este sistema se implementará con el propósito de administrar y consultar datos pertinentes a cada una de las áreas administrativas de Bogotá.</w:t>
      </w:r>
    </w:p>
    <w:p w:rsidR="00000000" w:rsidDel="00000000" w:rsidP="00000000" w:rsidRDefault="00000000" w:rsidRPr="00000000" w14:paraId="0000004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2160" w:hanging="360"/>
        <w:jc w:val="both"/>
      </w:pPr>
      <w:r w:rsidDel="00000000" w:rsidR="00000000" w:rsidRPr="00000000">
        <w:rPr>
          <w:color w:val="ff0000"/>
          <w:rtl w:val="0"/>
        </w:rPr>
        <w:t xml:space="preserve">Cree el modelo</w:t>
      </w:r>
      <w:r w:rsidDel="00000000" w:rsidR="00000000" w:rsidRPr="00000000">
        <w:rPr>
          <w:rtl w:val="0"/>
        </w:rPr>
        <w:t xml:space="preserve"> de bases de datos que permita almacenar la información de las localidades de la capital de Colombia. 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Entregar el </w:t>
      </w:r>
      <w:r w:rsidDel="00000000" w:rsidR="00000000" w:rsidRPr="00000000">
        <w:rPr>
          <w:color w:val="ff9900"/>
          <w:rtl w:val="0"/>
        </w:rPr>
        <w:t xml:space="preserve">esquema relacional </w:t>
      </w:r>
      <w:r w:rsidDel="00000000" w:rsidR="00000000" w:rsidRPr="00000000">
        <w:rPr>
          <w:rtl w:val="0"/>
        </w:rPr>
        <w:t xml:space="preserve">que describa las tablas necesarias para almacenar la información.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Incluir las definiciones de cada tabla, los atributos y las restricciones de integridad.</w:t>
      </w:r>
    </w:p>
    <w:p w:rsidR="00000000" w:rsidDel="00000000" w:rsidP="00000000" w:rsidRDefault="00000000" w:rsidRPr="00000000" w14:paraId="00000044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Al completar este ejercicio, se espera obtener un modelo relacional completo y bien estructurado que permita la gestión efectiva de información según la </w:t>
      </w:r>
      <w:r w:rsidDel="00000000" w:rsidR="00000000" w:rsidRPr="00000000">
        <w:rPr>
          <w:highlight w:val="yellow"/>
          <w:rtl w:val="0"/>
        </w:rPr>
        <w:t xml:space="preserve">norma ISO 3166-1 </w:t>
      </w:r>
      <w:r w:rsidDel="00000000" w:rsidR="00000000" w:rsidRPr="00000000">
        <w:rPr>
          <w:rtl w:val="0"/>
        </w:rPr>
        <w:t xml:space="preserve">en una base de datos, facilitando así la representación y consulta de datos geográficos a nivel internacional.</w:t>
      </w:r>
    </w:p>
    <w:p w:rsidR="00000000" w:rsidDel="00000000" w:rsidP="00000000" w:rsidRDefault="00000000" w:rsidRPr="00000000" w14:paraId="00000046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Referencias: 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2160" w:hanging="360"/>
        <w:jc w:val="both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https://bogota.gov.co/mi-ciudad/localidades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2160" w:hanging="360"/>
        <w:jc w:val="both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https://www.cepal.org/sites/default/files/def_urbana_rural.pdf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68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68"/>
        <w:tblGridChange w:id="0">
          <w:tblGrid>
            <w:gridCol w:w="9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Población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urbana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Aquella que habita todo lugar poblado cuya población exceda de 2.000 habitantes y todo lugar cuya población fluctúe entre 1.500 y 2.000 habitantes, siempre que exista servicio de agua.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Población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rural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Aquella que habita el área que no está comprendida dentro del área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urbana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4 - Laptops</w:t>
      </w:r>
    </w:p>
    <w:p w:rsidR="00000000" w:rsidDel="00000000" w:rsidP="00000000" w:rsidRDefault="00000000" w:rsidRPr="00000000" w14:paraId="0000004F">
      <w:pPr>
        <w:spacing w:line="240" w:lineRule="auto"/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En bases de datos, una entidad es la representación de un </w:t>
      </w:r>
      <w:r w:rsidDel="00000000" w:rsidR="00000000" w:rsidRPr="00000000">
        <w:rPr>
          <w:color w:val="ff0000"/>
          <w:highlight w:val="black"/>
          <w:rtl w:val="0"/>
        </w:rPr>
        <w:t xml:space="preserve">objeto</w:t>
      </w:r>
      <w:r w:rsidDel="00000000" w:rsidR="00000000" w:rsidRPr="00000000">
        <w:rPr>
          <w:color w:val="ff000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o concepto del </w:t>
      </w:r>
      <w:r w:rsidDel="00000000" w:rsidR="00000000" w:rsidRPr="00000000">
        <w:rPr>
          <w:highlight w:val="yellow"/>
          <w:rtl w:val="0"/>
        </w:rPr>
        <w:t xml:space="preserve">mundo real</w:t>
      </w:r>
      <w:r w:rsidDel="00000000" w:rsidR="00000000" w:rsidRPr="00000000">
        <w:rPr>
          <w:rtl w:val="0"/>
        </w:rPr>
        <w:t xml:space="preserve"> que se describe en una base de datos. Las entidades se describen en la estructura de la base de datos empleando un modelo de datos.</w:t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1095375</wp:posOffset>
            </wp:positionH>
            <wp:positionV relativeFrom="paragraph">
              <wp:posOffset>232363</wp:posOffset>
            </wp:positionV>
            <wp:extent cx="5915006" cy="3050813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06" cy="3050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720" w:firstLine="720"/>
        <w:jc w:val="both"/>
        <w:rPr>
          <w:shd w:fill="ff9900" w:val="clear"/>
        </w:rPr>
      </w:pPr>
      <w:r w:rsidDel="00000000" w:rsidR="00000000" w:rsidRPr="00000000">
        <w:rPr>
          <w:rtl w:val="0"/>
        </w:rPr>
        <w:t xml:space="preserve">A partir del modelo entidad relación previamente expuesto, crear el </w:t>
      </w:r>
      <w:r w:rsidDel="00000000" w:rsidR="00000000" w:rsidRPr="00000000">
        <w:rPr>
          <w:highlight w:val="yellow"/>
          <w:rtl w:val="0"/>
        </w:rPr>
        <w:t xml:space="preserve">modelo relacional </w:t>
      </w:r>
      <w:r w:rsidDel="00000000" w:rsidR="00000000" w:rsidRPr="00000000">
        <w:rPr>
          <w:rtl w:val="0"/>
        </w:rPr>
        <w:t xml:space="preserve">de bases de datos que permita almacenar la información concerniente a los datos básicos de </w:t>
      </w:r>
      <w:r w:rsidDel="00000000" w:rsidR="00000000" w:rsidRPr="00000000">
        <w:rPr>
          <w:shd w:fill="ff9900" w:val="clear"/>
          <w:rtl w:val="0"/>
        </w:rPr>
        <w:t xml:space="preserve">un equipo personal.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5 - Gestión de personas</w:t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4288" cy="108094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288" cy="10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En el contexto de un </w:t>
      </w:r>
      <w:r w:rsidDel="00000000" w:rsidR="00000000" w:rsidRPr="00000000">
        <w:rPr>
          <w:highlight w:val="yellow"/>
          <w:rtl w:val="0"/>
        </w:rPr>
        <w:t xml:space="preserve">estudio demográfico</w:t>
      </w:r>
      <w:r w:rsidDel="00000000" w:rsidR="00000000" w:rsidRPr="00000000">
        <w:rPr>
          <w:rtl w:val="0"/>
        </w:rPr>
        <w:t xml:space="preserve"> destinado a comprender la composición y dinámica de una población específica, la </w:t>
      </w:r>
      <w:r w:rsidDel="00000000" w:rsidR="00000000" w:rsidRPr="00000000">
        <w:rPr>
          <w:highlight w:val="cyan"/>
          <w:rtl w:val="0"/>
        </w:rPr>
        <w:t xml:space="preserve">tabla 'Personas'</w:t>
      </w:r>
      <w:r w:rsidDel="00000000" w:rsidR="00000000" w:rsidRPr="00000000">
        <w:rPr>
          <w:rtl w:val="0"/>
        </w:rPr>
        <w:t xml:space="preserve"> sirve como componente central de la base de datos y representa la población objeto de análisis. </w:t>
      </w:r>
    </w:p>
    <w:p w:rsidR="00000000" w:rsidDel="00000000" w:rsidP="00000000" w:rsidRDefault="00000000" w:rsidRPr="00000000" w14:paraId="00000056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Cada </w:t>
      </w:r>
      <w:r w:rsidDel="00000000" w:rsidR="00000000" w:rsidRPr="00000000">
        <w:rPr>
          <w:shd w:fill="ff9900" w:val="clear"/>
          <w:rtl w:val="0"/>
        </w:rPr>
        <w:t xml:space="preserve">entrada </w:t>
      </w:r>
      <w:r w:rsidDel="00000000" w:rsidR="00000000" w:rsidRPr="00000000">
        <w:rPr>
          <w:rtl w:val="0"/>
        </w:rPr>
        <w:t xml:space="preserve">(registro - tupla) en esta tabla representa un individuo o persona dentro de la población estudiada y contiene atributos como ID (identificador único), Nombre (cadena de caracteres), Apellido (cadena de caracteres),</w:t>
      </w:r>
      <w:r w:rsidDel="00000000" w:rsidR="00000000" w:rsidRPr="00000000">
        <w:rPr>
          <w:shd w:fill="ff9900" w:val="clear"/>
          <w:rtl w:val="0"/>
        </w:rPr>
        <w:t xml:space="preserve"> Edad (entero),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magenta"/>
          <w:rtl w:val="0"/>
        </w:rPr>
        <w:t xml:space="preserve">Género, </w:t>
      </w:r>
      <w:r w:rsidDel="00000000" w:rsidR="00000000" w:rsidRPr="00000000">
        <w:rPr>
          <w:rtl w:val="0"/>
        </w:rPr>
        <w:t xml:space="preserve">Ocupación, estado civil  y Ubicación, permitiendo así el análisis detallado de factores demográficos clave.</w:t>
      </w:r>
    </w:p>
    <w:p w:rsidR="00000000" w:rsidDel="00000000" w:rsidP="00000000" w:rsidRDefault="00000000" w:rsidRPr="00000000" w14:paraId="00000058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 La clave primaria de esta tabla es el atributo IdPersona (analizar), lo que garantiza la integridad y unicidad de cada registro en el conjunto de datos, facilitando así un análisis exhaustivo de la distribución demográfica y las tendencias dentro de la población estudiada.</w:t>
      </w:r>
    </w:p>
    <w:p w:rsidR="00000000" w:rsidDel="00000000" w:rsidP="00000000" w:rsidRDefault="00000000" w:rsidRPr="00000000" w14:paraId="0000005A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Cree el modelo relacional de bases de datos que permita almacenar la información concerniente a los datos básicos de las personas que están participando en el estudio. </w:t>
      </w:r>
    </w:p>
    <w:p w:rsidR="00000000" w:rsidDel="00000000" w:rsidP="00000000" w:rsidRDefault="00000000" w:rsidRPr="00000000" w14:paraId="0000005C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Base de datos No 6 -  Especialidades médicas  </w:t>
      </w:r>
    </w:p>
    <w:p w:rsidR="00000000" w:rsidDel="00000000" w:rsidP="00000000" w:rsidRDefault="00000000" w:rsidRPr="00000000" w14:paraId="0000005F">
      <w:pPr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57350" cy="131784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10549" l="0" r="0" t="101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1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highlight w:val="yellow"/>
          <w:rtl w:val="0"/>
        </w:rPr>
        <w:t xml:space="preserve">especialidad </w:t>
      </w:r>
      <w:r w:rsidDel="00000000" w:rsidR="00000000" w:rsidRPr="00000000">
        <w:rPr>
          <w:rtl w:val="0"/>
        </w:rPr>
        <w:t xml:space="preserve">médica son los estudios cursados por un </w:t>
      </w:r>
      <w:r w:rsidDel="00000000" w:rsidR="00000000" w:rsidRPr="00000000">
        <w:rPr>
          <w:highlight w:val="yellow"/>
          <w:rtl w:val="0"/>
        </w:rPr>
        <w:t xml:space="preserve">graduado o licenciado en medicina </w:t>
      </w:r>
      <w:r w:rsidDel="00000000" w:rsidR="00000000" w:rsidRPr="00000000">
        <w:rPr>
          <w:rtl w:val="0"/>
        </w:rPr>
        <w:t xml:space="preserve">en su período de posgrado, y que derivan de un conjunto de conocimientos médicos especializados relativos a un área específica del cuerpo humano, a técnicas quirúrgicas específicas o a un método diagnóstico determinado.</w:t>
      </w:r>
    </w:p>
    <w:p w:rsidR="00000000" w:rsidDel="00000000" w:rsidP="00000000" w:rsidRDefault="00000000" w:rsidRPr="00000000" w14:paraId="00000061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Según cada país, puede variar tanto el número como la denominación de las especialidades médicas, aunque la tendencia es a unificarlas. Incluso algunas especialidades médicas, fundamentalmente las de laboratorio, también son accesibles a graduados o licenciados en biología, farmacia o química en determinados países.</w:t>
      </w:r>
    </w:p>
    <w:p w:rsidR="00000000" w:rsidDel="00000000" w:rsidP="00000000" w:rsidRDefault="00000000" w:rsidRPr="00000000" w14:paraId="00000063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En la mayoría de los países una vez concluida la especialidad se puede continuar con la </w:t>
      </w:r>
      <w:r w:rsidDel="00000000" w:rsidR="00000000" w:rsidRPr="00000000">
        <w:rPr>
          <w:highlight w:val="yellow"/>
          <w:rtl w:val="0"/>
        </w:rPr>
        <w:t xml:space="preserve">subespecialidad </w:t>
      </w:r>
      <w:r w:rsidDel="00000000" w:rsidR="00000000" w:rsidRPr="00000000">
        <w:rPr>
          <w:rtl w:val="0"/>
        </w:rPr>
        <w:t xml:space="preserve">(fellowship) que duran entre 2 a 4 años.</w:t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2759" cy="255941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759" cy="2559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jc w:val="both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160" w:firstLine="0"/>
        <w:jc w:val="both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[1]. Listado de especialidades médicas y odontológicas especialidades médicas</w:t>
      </w:r>
    </w:p>
    <w:p w:rsidR="00000000" w:rsidDel="00000000" w:rsidP="00000000" w:rsidRDefault="00000000" w:rsidRPr="00000000" w14:paraId="00000069">
      <w:pPr>
        <w:ind w:left="2160" w:firstLine="0"/>
        <w:jc w:val="both"/>
        <w:rPr>
          <w:rFonts w:ascii="Calibri" w:cs="Calibri" w:eastAsia="Calibri" w:hAnsi="Calibri"/>
          <w:sz w:val="21"/>
          <w:szCs w:val="21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https://www.ama-med.org.ar/images/uploads/files/PERITOS%20Dossier%20Especialidades.pdf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A">
      <w:pPr>
        <w:ind w:left="2160" w:firstLine="0"/>
        <w:jc w:val="both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2160" w:firstLine="0"/>
        <w:jc w:val="both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[2]. Conoce aquí las ramas de la medicina</w:t>
      </w:r>
    </w:p>
    <w:p w:rsidR="00000000" w:rsidDel="00000000" w:rsidP="00000000" w:rsidRDefault="00000000" w:rsidRPr="00000000" w14:paraId="0000006C">
      <w:pPr>
        <w:ind w:left="2160" w:firstLine="0"/>
        <w:jc w:val="both"/>
        <w:rPr>
          <w:rFonts w:ascii="Calibri" w:cs="Calibri" w:eastAsia="Calibri" w:hAnsi="Calibri"/>
          <w:sz w:val="21"/>
          <w:szCs w:val="21"/>
        </w:rPr>
      </w:pPr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https://portal.unbosque.edu.co/blog-universidad-el-bosque/conoce-aqui-las-ramas-de-la-medicina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D">
      <w:pPr>
        <w:ind w:left="2160" w:firstLine="0"/>
        <w:jc w:val="both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160" w:firstLine="0"/>
        <w:jc w:val="both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[3]. Universidad de Monterrey: Especialidades y subespecialidades médicas</w:t>
      </w:r>
    </w:p>
    <w:p w:rsidR="00000000" w:rsidDel="00000000" w:rsidP="00000000" w:rsidRDefault="00000000" w:rsidRPr="00000000" w14:paraId="0000006F">
      <w:pPr>
        <w:ind w:left="2160" w:firstLine="0"/>
        <w:jc w:val="both"/>
        <w:rPr>
          <w:rFonts w:ascii="Calibri" w:cs="Calibri" w:eastAsia="Calibri" w:hAnsi="Calibri"/>
          <w:sz w:val="21"/>
          <w:szCs w:val="21"/>
        </w:rPr>
      </w:pPr>
      <w:hyperlink r:id="rId19">
        <w:r w:rsidDel="00000000" w:rsidR="00000000" w:rsidRPr="00000000">
          <w:rPr>
            <w:rFonts w:ascii="Calibri" w:cs="Calibri" w:eastAsia="Calibri" w:hAnsi="Calibri"/>
            <w:color w:val="1155cc"/>
            <w:sz w:val="21"/>
            <w:szCs w:val="21"/>
            <w:u w:val="single"/>
            <w:rtl w:val="0"/>
          </w:rPr>
          <w:t xml:space="preserve">https://www.udem.edu.mx/es/ciencias-de-la-salud/programas/especialidades-y-subespecialidades-medicas</w:t>
        </w:r>
      </w:hyperlink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Ejemplo para tener en cuenta: 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0" w:afterAutospacing="0" w:before="240" w:line="360" w:lineRule="auto"/>
        <w:ind w:left="1440" w:hanging="360"/>
        <w:rPr>
          <w:sz w:val="18"/>
          <w:szCs w:val="18"/>
          <w:highlight w:val="yellow"/>
        </w:rPr>
      </w:pPr>
      <w:r w:rsidDel="00000000" w:rsidR="00000000" w:rsidRPr="00000000">
        <w:rPr>
          <w:b w:val="1"/>
          <w:sz w:val="18"/>
          <w:szCs w:val="18"/>
          <w:highlight w:val="yellow"/>
          <w:rtl w:val="0"/>
        </w:rPr>
        <w:t xml:space="preserve">Categoría (Nivel 1)</w:t>
      </w:r>
      <w:r w:rsidDel="00000000" w:rsidR="00000000" w:rsidRPr="00000000">
        <w:rPr>
          <w:sz w:val="18"/>
          <w:szCs w:val="18"/>
          <w:highlight w:val="yellow"/>
          <w:rtl w:val="0"/>
        </w:rPr>
        <w:t xml:space="preserve">: </w:t>
      </w:r>
      <w:r w:rsidDel="00000000" w:rsidR="00000000" w:rsidRPr="00000000">
        <w:rPr>
          <w:b w:val="1"/>
          <w:sz w:val="18"/>
          <w:szCs w:val="18"/>
          <w:highlight w:val="yellow"/>
          <w:rtl w:val="0"/>
        </w:rPr>
        <w:t xml:space="preserve">Cirugía General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afterAutospacing="0" w:before="0" w:beforeAutospacing="0" w:line="360" w:lineRule="auto"/>
        <w:ind w:left="2160" w:hanging="360"/>
        <w:rPr>
          <w:sz w:val="18"/>
          <w:szCs w:val="18"/>
          <w:shd w:fill="ff9900" w:val="clear"/>
        </w:rPr>
      </w:pPr>
      <w:r w:rsidDel="00000000" w:rsidR="00000000" w:rsidRPr="00000000">
        <w:rPr>
          <w:b w:val="1"/>
          <w:sz w:val="18"/>
          <w:szCs w:val="18"/>
          <w:shd w:fill="ff9900" w:val="clear"/>
          <w:rtl w:val="0"/>
        </w:rPr>
        <w:t xml:space="preserve">Subcategoría (Nivel 2)</w:t>
      </w:r>
      <w:r w:rsidDel="00000000" w:rsidR="00000000" w:rsidRPr="00000000">
        <w:rPr>
          <w:sz w:val="18"/>
          <w:szCs w:val="18"/>
          <w:shd w:fill="ff9900" w:val="clear"/>
          <w:rtl w:val="0"/>
        </w:rPr>
        <w:t xml:space="preserve">: Cirugía cardiovascular</w:t>
      </w:r>
    </w:p>
    <w:p w:rsidR="00000000" w:rsidDel="00000000" w:rsidP="00000000" w:rsidRDefault="00000000" w:rsidRPr="00000000" w14:paraId="00000075">
      <w:pPr>
        <w:numPr>
          <w:ilvl w:val="1"/>
          <w:numId w:val="8"/>
        </w:numPr>
        <w:spacing w:after="0" w:afterAutospacing="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Cirugía de bypass coronario</w:t>
      </w:r>
    </w:p>
    <w:p w:rsidR="00000000" w:rsidDel="00000000" w:rsidP="00000000" w:rsidRDefault="00000000" w:rsidRPr="00000000" w14:paraId="00000076">
      <w:pPr>
        <w:numPr>
          <w:ilvl w:val="1"/>
          <w:numId w:val="8"/>
        </w:numPr>
        <w:spacing w:after="0" w:afterAutospacing="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Cirugía de reemplazo valvular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0" w:beforeAutospacing="0" w:line="360" w:lineRule="auto"/>
        <w:ind w:left="2160" w:hanging="360"/>
        <w:rPr>
          <w:sz w:val="18"/>
          <w:szCs w:val="18"/>
          <w:shd w:fill="ff9900" w:val="clear"/>
        </w:rPr>
      </w:pPr>
      <w:r w:rsidDel="00000000" w:rsidR="00000000" w:rsidRPr="00000000">
        <w:rPr>
          <w:b w:val="1"/>
          <w:sz w:val="18"/>
          <w:szCs w:val="18"/>
          <w:shd w:fill="ff9900" w:val="clear"/>
          <w:rtl w:val="0"/>
        </w:rPr>
        <w:t xml:space="preserve">Subcategoría (Nivel 2)</w:t>
      </w:r>
      <w:r w:rsidDel="00000000" w:rsidR="00000000" w:rsidRPr="00000000">
        <w:rPr>
          <w:sz w:val="18"/>
          <w:szCs w:val="18"/>
          <w:shd w:fill="ff9900" w:val="clear"/>
          <w:rtl w:val="0"/>
        </w:rPr>
        <w:t xml:space="preserve">: Cirugía ortopédica</w:t>
      </w:r>
    </w:p>
    <w:p w:rsidR="00000000" w:rsidDel="00000000" w:rsidP="00000000" w:rsidRDefault="00000000" w:rsidRPr="00000000" w14:paraId="00000078">
      <w:pPr>
        <w:numPr>
          <w:ilvl w:val="1"/>
          <w:numId w:val="8"/>
        </w:numPr>
        <w:spacing w:after="0" w:afterAutospacing="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Cirugía de la columna vertebral</w:t>
      </w:r>
    </w:p>
    <w:p w:rsidR="00000000" w:rsidDel="00000000" w:rsidP="00000000" w:rsidRDefault="00000000" w:rsidRPr="00000000" w14:paraId="00000079">
      <w:pPr>
        <w:numPr>
          <w:ilvl w:val="1"/>
          <w:numId w:val="8"/>
        </w:numPr>
        <w:spacing w:after="0" w:afterAutospacing="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Cirugía artroscópica avanzada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0" w:afterAutospacing="0" w:before="0" w:beforeAutospacing="0" w:line="360" w:lineRule="auto"/>
        <w:ind w:left="1440" w:hanging="360"/>
        <w:rPr>
          <w:sz w:val="18"/>
          <w:szCs w:val="18"/>
          <w:highlight w:val="yellow"/>
        </w:rPr>
      </w:pPr>
      <w:r w:rsidDel="00000000" w:rsidR="00000000" w:rsidRPr="00000000">
        <w:rPr>
          <w:b w:val="1"/>
          <w:sz w:val="18"/>
          <w:szCs w:val="18"/>
          <w:highlight w:val="yellow"/>
          <w:rtl w:val="0"/>
        </w:rPr>
        <w:t xml:space="preserve">Categoría (Nivel 1)</w:t>
      </w:r>
      <w:r w:rsidDel="00000000" w:rsidR="00000000" w:rsidRPr="00000000">
        <w:rPr>
          <w:sz w:val="18"/>
          <w:szCs w:val="18"/>
          <w:highlight w:val="yellow"/>
          <w:rtl w:val="0"/>
        </w:rPr>
        <w:t xml:space="preserve">: </w:t>
      </w:r>
      <w:r w:rsidDel="00000000" w:rsidR="00000000" w:rsidRPr="00000000">
        <w:rPr>
          <w:b w:val="1"/>
          <w:sz w:val="18"/>
          <w:szCs w:val="18"/>
          <w:highlight w:val="yellow"/>
          <w:rtl w:val="0"/>
        </w:rPr>
        <w:t xml:space="preserve">Medicina Interna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 w:line="360" w:lineRule="auto"/>
        <w:ind w:left="2160" w:hanging="360"/>
        <w:rPr>
          <w:sz w:val="18"/>
          <w:szCs w:val="18"/>
          <w:shd w:fill="ff9900" w:val="clear"/>
        </w:rPr>
      </w:pPr>
      <w:r w:rsidDel="00000000" w:rsidR="00000000" w:rsidRPr="00000000">
        <w:rPr>
          <w:b w:val="1"/>
          <w:sz w:val="18"/>
          <w:szCs w:val="18"/>
          <w:shd w:fill="ff9900" w:val="clear"/>
          <w:rtl w:val="0"/>
        </w:rPr>
        <w:t xml:space="preserve">Subcategoría (Nivel 2)</w:t>
      </w:r>
      <w:r w:rsidDel="00000000" w:rsidR="00000000" w:rsidRPr="00000000">
        <w:rPr>
          <w:sz w:val="18"/>
          <w:szCs w:val="18"/>
          <w:shd w:fill="ff9900" w:val="clear"/>
          <w:rtl w:val="0"/>
        </w:rPr>
        <w:t xml:space="preserve">: Cardiología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0" w:afterAutospacing="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Electrofisiología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after="0" w:afterAutospacing="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Intervencionismo cardiaco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0" w:beforeAutospacing="0" w:line="360" w:lineRule="auto"/>
        <w:ind w:left="2160" w:hanging="360"/>
        <w:rPr>
          <w:sz w:val="18"/>
          <w:szCs w:val="18"/>
          <w:shd w:fill="ff9900" w:val="clear"/>
        </w:rPr>
      </w:pPr>
      <w:r w:rsidDel="00000000" w:rsidR="00000000" w:rsidRPr="00000000">
        <w:rPr>
          <w:b w:val="1"/>
          <w:sz w:val="18"/>
          <w:szCs w:val="18"/>
          <w:shd w:fill="ff9900" w:val="clear"/>
          <w:rtl w:val="0"/>
        </w:rPr>
        <w:t xml:space="preserve">Subcategoría (Nivel 2)</w:t>
      </w:r>
      <w:r w:rsidDel="00000000" w:rsidR="00000000" w:rsidRPr="00000000">
        <w:rPr>
          <w:sz w:val="18"/>
          <w:szCs w:val="18"/>
          <w:shd w:fill="ff9900" w:val="clear"/>
          <w:rtl w:val="0"/>
        </w:rPr>
        <w:t xml:space="preserve">: Neumología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spacing w:after="0" w:afterAutospacing="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Neumología pediátrica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after="240" w:before="0" w:beforeAutospacing="0" w:line="360" w:lineRule="auto"/>
        <w:ind w:left="288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Neumología intervencionista</w:t>
      </w:r>
    </w:p>
    <w:p w:rsidR="00000000" w:rsidDel="00000000" w:rsidP="00000000" w:rsidRDefault="00000000" w:rsidRPr="00000000" w14:paraId="00000081">
      <w:pPr>
        <w:spacing w:after="240" w:before="240" w:line="360" w:lineRule="auto"/>
        <w:rPr>
          <w:sz w:val="18"/>
          <w:szCs w:val="18"/>
        </w:rPr>
      </w:pPr>
      <w:r w:rsidDel="00000000" w:rsidR="00000000" w:rsidRPr="00000000">
        <w:rPr>
          <w:i w:val="1"/>
          <w:rtl w:val="0"/>
        </w:rPr>
        <w:t xml:space="preserve">Para aclarar: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Categoría (Nivel 1)</w:t>
      </w:r>
      <w:r w:rsidDel="00000000" w:rsidR="00000000" w:rsidRPr="00000000">
        <w:rPr>
          <w:sz w:val="18"/>
          <w:szCs w:val="18"/>
          <w:rtl w:val="0"/>
        </w:rPr>
        <w:t xml:space="preserve">: Es la especialidad o área principal.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Subcategoría (Nivel 2)</w:t>
      </w:r>
      <w:r w:rsidDel="00000000" w:rsidR="00000000" w:rsidRPr="00000000">
        <w:rPr>
          <w:sz w:val="18"/>
          <w:szCs w:val="18"/>
          <w:rtl w:val="0"/>
        </w:rPr>
        <w:t xml:space="preserve">: Se refiere a una subespecialidad dentro de esa categoría.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b w:val="1"/>
          <w:sz w:val="18"/>
          <w:szCs w:val="18"/>
          <w:rtl w:val="0"/>
        </w:rPr>
        <w:t xml:space="preserve">Sub-subcategoría (Nivel 3)</w:t>
      </w:r>
      <w:r w:rsidDel="00000000" w:rsidR="00000000" w:rsidRPr="00000000">
        <w:rPr>
          <w:sz w:val="18"/>
          <w:szCs w:val="18"/>
          <w:rtl w:val="0"/>
        </w:rPr>
        <w:t xml:space="preserve">: Hace referencia a áreas más específicas o avanzadas dentro de la subespecialidad.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ogota.gov.co/mi-ciudad/localidades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hyperlink" Target="https://www.cepal.org/sites/default/files/def_urbana_rural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Anexo:Municipios_de_Colombia_por_poblaci%C3%B3n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hyperlink" Target="https://www.ama-med.org.ar/images/uploads/files/PERITOS%20Dossier%20Especialidades.pdf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www.udem.edu.mx/es/ciencias-de-la-salud/programas/especialidades-y-subespecialidades-medicas" TargetMode="External"/><Relationship Id="rId6" Type="http://schemas.openxmlformats.org/officeDocument/2006/relationships/image" Target="media/image6.png"/><Relationship Id="rId18" Type="http://schemas.openxmlformats.org/officeDocument/2006/relationships/hyperlink" Target="https://portal.unbosque.edu.co/blog-universidad-el-bosque/conoce-aqui-las-ramas-de-la-medicina" TargetMode="External"/><Relationship Id="rId7" Type="http://schemas.openxmlformats.org/officeDocument/2006/relationships/hyperlink" Target="https://es.wikipedia.org/wiki/ISO_3166-1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