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pPr>
      <w:r w:rsidDel="00000000" w:rsidR="00000000" w:rsidRPr="00000000">
        <w:rPr>
          <w:sz w:val="80"/>
          <w:szCs w:val="80"/>
          <w:rtl w:val="0"/>
        </w:rPr>
        <w:t xml:space="preserve">Laboratorio Modelo Relacional</w:t>
      </w:r>
      <w:r w:rsidDel="00000000" w:rsidR="00000000" w:rsidRPr="00000000">
        <w:rPr>
          <w:rtl w:val="0"/>
        </w:rPr>
      </w:r>
    </w:p>
    <w:p w:rsidR="00000000" w:rsidDel="00000000" w:rsidP="00000000" w:rsidRDefault="00000000" w:rsidRPr="00000000" w14:paraId="00000002">
      <w:pPr>
        <w:ind w:left="720" w:firstLine="0"/>
        <w:jc w:val="center"/>
        <w:rPr/>
      </w:pPr>
      <w:r w:rsidDel="00000000" w:rsidR="00000000" w:rsidRPr="00000000">
        <w:rPr>
          <w:b w:val="1"/>
          <w:sz w:val="38"/>
          <w:szCs w:val="38"/>
          <w:rtl w:val="0"/>
        </w:rPr>
        <w:t xml:space="preserve">Diseño de base de datos (Modelo y diccionario de datos)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b w:val="1"/>
        </w:rPr>
      </w:pPr>
      <w:r w:rsidDel="00000000" w:rsidR="00000000" w:rsidRPr="00000000">
        <w:rPr>
          <w:b w:val="1"/>
          <w:rtl w:val="0"/>
        </w:rPr>
        <w:t xml:space="preserve">Fecha: </w:t>
      </w:r>
      <w:r w:rsidDel="00000000" w:rsidR="00000000" w:rsidRPr="00000000">
        <w:rPr>
          <w:rtl w:val="0"/>
        </w:rPr>
        <w:t xml:space="preserve">Miércoles, Marzo 26  / 2025</w:t>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b w:val="1"/>
        </w:rPr>
      </w:pPr>
      <w:r w:rsidDel="00000000" w:rsidR="00000000" w:rsidRPr="00000000">
        <w:rPr>
          <w:b w:val="1"/>
          <w:rtl w:val="0"/>
        </w:rPr>
        <w:t xml:space="preserve">Entregables para cada base de datos:</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pacing w:before="300" w:line="420" w:lineRule="auto"/>
        <w:ind w:left="720" w:firstLine="0"/>
        <w:jc w:val="both"/>
        <w:rPr/>
      </w:pPr>
      <w:r w:rsidDel="00000000" w:rsidR="00000000" w:rsidRPr="00000000">
        <w:rPr>
          <w:rtl w:val="0"/>
        </w:rPr>
        <w:t xml:space="preserve">Al proporcionar esta documentación, se brinda a los usuarios una comprensión completa de la estructura y el funcionamiento de la base de datos, lo que facilita su uso y mantenimiento adecuados.</w:t>
      </w:r>
    </w:p>
    <w:p w:rsidR="00000000" w:rsidDel="00000000" w:rsidP="00000000" w:rsidRDefault="00000000" w:rsidRPr="00000000" w14:paraId="00000009">
      <w:pPr>
        <w:ind w:left="720" w:firstLine="0"/>
        <w:jc w:val="both"/>
        <w:rPr>
          <w:b w:val="1"/>
        </w:rPr>
      </w:pPr>
      <w:r w:rsidDel="00000000" w:rsidR="00000000" w:rsidRPr="00000000">
        <w:rPr>
          <w:rtl w:val="0"/>
        </w:rPr>
      </w:r>
    </w:p>
    <w:p w:rsidR="00000000" w:rsidDel="00000000" w:rsidP="00000000" w:rsidRDefault="00000000" w:rsidRPr="00000000" w14:paraId="0000000A">
      <w:pPr>
        <w:numPr>
          <w:ilvl w:val="0"/>
          <w:numId w:val="2"/>
        </w:numPr>
        <w:spacing w:line="480" w:lineRule="auto"/>
        <w:ind w:left="1440" w:hanging="360"/>
        <w:jc w:val="both"/>
      </w:pPr>
      <w:r w:rsidDel="00000000" w:rsidR="00000000" w:rsidRPr="00000000">
        <w:rPr>
          <w:rtl w:val="0"/>
        </w:rPr>
        <w:t xml:space="preserve">Modelo </w:t>
      </w:r>
      <w:r w:rsidDel="00000000" w:rsidR="00000000" w:rsidRPr="00000000">
        <w:rPr>
          <w:highlight w:val="yellow"/>
          <w:rtl w:val="0"/>
        </w:rPr>
        <w:t xml:space="preserve">entidad relación </w:t>
      </w:r>
      <w:r w:rsidDel="00000000" w:rsidR="00000000" w:rsidRPr="00000000">
        <w:rPr>
          <w:rtl w:val="0"/>
        </w:rPr>
        <w:t xml:space="preserve">(Imagen (PNG, JPG) del modelo). Usar </w:t>
      </w:r>
      <w:r w:rsidDel="00000000" w:rsidR="00000000" w:rsidRPr="00000000">
        <w:rPr>
          <w:b w:val="1"/>
          <w:rtl w:val="0"/>
        </w:rPr>
        <w:t xml:space="preserve">DIA </w:t>
      </w:r>
      <w:r w:rsidDel="00000000" w:rsidR="00000000" w:rsidRPr="00000000">
        <w:rPr>
          <w:rtl w:val="0"/>
        </w:rPr>
        <w:t xml:space="preserve">o cualquier otra herramienta adecuada.</w:t>
      </w:r>
    </w:p>
    <w:p w:rsidR="00000000" w:rsidDel="00000000" w:rsidP="00000000" w:rsidRDefault="00000000" w:rsidRPr="00000000" w14:paraId="0000000B">
      <w:pPr>
        <w:numPr>
          <w:ilvl w:val="0"/>
          <w:numId w:val="2"/>
        </w:numPr>
        <w:spacing w:line="480" w:lineRule="auto"/>
        <w:ind w:left="1440" w:hanging="360"/>
        <w:jc w:val="both"/>
      </w:pPr>
      <w:r w:rsidDel="00000000" w:rsidR="00000000" w:rsidRPr="00000000">
        <w:rPr>
          <w:rtl w:val="0"/>
        </w:rPr>
        <w:t xml:space="preserve">Modelo </w:t>
      </w:r>
      <w:r w:rsidDel="00000000" w:rsidR="00000000" w:rsidRPr="00000000">
        <w:rPr>
          <w:highlight w:val="cyan"/>
          <w:rtl w:val="0"/>
        </w:rPr>
        <w:t xml:space="preserve">relacional </w:t>
      </w:r>
      <w:r w:rsidDel="00000000" w:rsidR="00000000" w:rsidRPr="00000000">
        <w:rPr>
          <w:rtl w:val="0"/>
        </w:rPr>
        <w:t xml:space="preserve">creado en MySQL Workbench (imagen y proyecto mysql workbench).</w:t>
      </w:r>
    </w:p>
    <w:p w:rsidR="00000000" w:rsidDel="00000000" w:rsidP="00000000" w:rsidRDefault="00000000" w:rsidRPr="00000000" w14:paraId="0000000C">
      <w:pPr>
        <w:numPr>
          <w:ilvl w:val="0"/>
          <w:numId w:val="2"/>
        </w:numPr>
        <w:spacing w:line="480" w:lineRule="auto"/>
        <w:ind w:left="1440" w:hanging="360"/>
        <w:jc w:val="both"/>
      </w:pPr>
      <w:r w:rsidDel="00000000" w:rsidR="00000000" w:rsidRPr="00000000">
        <w:rPr>
          <w:highlight w:val="green"/>
          <w:rtl w:val="0"/>
        </w:rPr>
        <w:t xml:space="preserve">Diccionario </w:t>
      </w:r>
      <w:r w:rsidDel="00000000" w:rsidR="00000000" w:rsidRPr="00000000">
        <w:rPr>
          <w:rtl w:val="0"/>
        </w:rPr>
        <w:t xml:space="preserve">de datos (</w:t>
      </w:r>
      <w:r w:rsidDel="00000000" w:rsidR="00000000" w:rsidRPr="00000000">
        <w:rPr>
          <w:b w:val="1"/>
          <w:color w:val="ff0000"/>
          <w:rtl w:val="0"/>
        </w:rPr>
        <w:t xml:space="preserve">generado</w:t>
      </w:r>
      <w:r w:rsidDel="00000000" w:rsidR="00000000" w:rsidRPr="00000000">
        <w:rPr>
          <w:rtl w:val="0"/>
        </w:rPr>
        <w:t xml:space="preserve">).</w:t>
      </w:r>
    </w:p>
    <w:p w:rsidR="00000000" w:rsidDel="00000000" w:rsidP="00000000" w:rsidRDefault="00000000" w:rsidRPr="00000000" w14:paraId="0000000D">
      <w:pPr>
        <w:numPr>
          <w:ilvl w:val="0"/>
          <w:numId w:val="2"/>
        </w:numPr>
        <w:spacing w:line="480" w:lineRule="auto"/>
        <w:ind w:left="1440" w:hanging="360"/>
        <w:jc w:val="both"/>
      </w:pPr>
      <w:r w:rsidDel="00000000" w:rsidR="00000000" w:rsidRPr="00000000">
        <w:rPr>
          <w:rtl w:val="0"/>
        </w:rPr>
        <w:t xml:space="preserve">Archivo </w:t>
      </w:r>
      <w:r w:rsidDel="00000000" w:rsidR="00000000" w:rsidRPr="00000000">
        <w:rPr>
          <w:highlight w:val="magenta"/>
          <w:rtl w:val="0"/>
        </w:rPr>
        <w:t xml:space="preserve">excel </w:t>
      </w:r>
      <w:r w:rsidDel="00000000" w:rsidR="00000000" w:rsidRPr="00000000">
        <w:rPr>
          <w:rtl w:val="0"/>
        </w:rPr>
        <w:t xml:space="preserve">con los datos de prueba de casa base de datos </w:t>
      </w:r>
      <w:r w:rsidDel="00000000" w:rsidR="00000000" w:rsidRPr="00000000">
        <w:rPr>
          <w:shd w:fill="ff9900" w:val="clear"/>
          <w:rtl w:val="0"/>
        </w:rPr>
        <w:t xml:space="preserve">(10 registros </w:t>
      </w:r>
      <w:r w:rsidDel="00000000" w:rsidR="00000000" w:rsidRPr="00000000">
        <w:rPr>
          <w:rtl w:val="0"/>
        </w:rPr>
        <w:t xml:space="preserve">por cada tabla).</w:t>
      </w:r>
    </w:p>
    <w:p w:rsidR="00000000" w:rsidDel="00000000" w:rsidP="00000000" w:rsidRDefault="00000000" w:rsidRPr="00000000" w14:paraId="0000000E">
      <w:pPr>
        <w:numPr>
          <w:ilvl w:val="0"/>
          <w:numId w:val="1"/>
        </w:numPr>
        <w:ind w:left="720" w:hanging="360"/>
        <w:rPr>
          <w:b w:val="1"/>
          <w:sz w:val="26"/>
          <w:szCs w:val="26"/>
        </w:rPr>
      </w:pPr>
      <w:r w:rsidDel="00000000" w:rsidR="00000000" w:rsidRPr="00000000">
        <w:rPr>
          <w:b w:val="1"/>
          <w:sz w:val="26"/>
          <w:szCs w:val="26"/>
          <w:rtl w:val="0"/>
        </w:rPr>
        <w:t xml:space="preserve">Actividad </w:t>
      </w:r>
      <w:r w:rsidDel="00000000" w:rsidR="00000000" w:rsidRPr="00000000">
        <w:rPr>
          <w:b w:val="1"/>
          <w:i w:val="1"/>
          <w:color w:val="ff0000"/>
          <w:sz w:val="26"/>
          <w:szCs w:val="26"/>
          <w:rtl w:val="0"/>
        </w:rPr>
        <w:t xml:space="preserve">Individual </w:t>
      </w:r>
    </w:p>
    <w:p w:rsidR="00000000" w:rsidDel="00000000" w:rsidP="00000000" w:rsidRDefault="00000000" w:rsidRPr="00000000" w14:paraId="0000000F">
      <w:pPr>
        <w:ind w:left="720" w:firstLine="0"/>
        <w:rPr>
          <w:b w:val="1"/>
        </w:rPr>
      </w:pP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b w:val="1"/>
          <w:rtl w:val="0"/>
        </w:rPr>
        <w:t xml:space="preserve">Base de datos No 1 - Ministerio de salud</w:t>
      </w:r>
      <w:r w:rsidDel="00000000" w:rsidR="00000000" w:rsidRPr="00000000">
        <w:rPr>
          <w:rtl w:val="0"/>
        </w:rPr>
      </w:r>
    </w:p>
    <w:p w:rsidR="00000000" w:rsidDel="00000000" w:rsidP="00000000" w:rsidRDefault="00000000" w:rsidRPr="00000000" w14:paraId="00000011">
      <w:pPr>
        <w:ind w:left="1440" w:firstLine="0"/>
        <w:jc w:val="center"/>
        <w:rPr/>
      </w:pPr>
      <w:r w:rsidDel="00000000" w:rsidR="00000000" w:rsidRPr="00000000">
        <w:rPr/>
        <w:drawing>
          <wp:inline distB="114300" distT="114300" distL="114300" distR="114300">
            <wp:extent cx="4651013" cy="20781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51013" cy="207811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1440" w:firstLine="0"/>
        <w:jc w:val="both"/>
        <w:rPr/>
      </w:pPr>
      <w:r w:rsidDel="00000000" w:rsidR="00000000" w:rsidRPr="00000000">
        <w:rPr>
          <w:rtl w:val="0"/>
        </w:rPr>
      </w:r>
    </w:p>
    <w:p w:rsidR="00000000" w:rsidDel="00000000" w:rsidP="00000000" w:rsidRDefault="00000000" w:rsidRPr="00000000" w14:paraId="00000013">
      <w:pPr>
        <w:ind w:left="720" w:firstLine="720"/>
        <w:jc w:val="both"/>
        <w:rPr/>
      </w:pPr>
      <w:r w:rsidDel="00000000" w:rsidR="00000000" w:rsidRPr="00000000">
        <w:rPr>
          <w:rtl w:val="0"/>
        </w:rPr>
        <w:t xml:space="preserve">La </w:t>
      </w:r>
      <w:r w:rsidDel="00000000" w:rsidR="00000000" w:rsidRPr="00000000">
        <w:rPr>
          <w:b w:val="1"/>
          <w:color w:val="ff0000"/>
          <w:rtl w:val="0"/>
        </w:rPr>
        <w:t xml:space="preserve">Circular Externa No 024 de 2019</w:t>
      </w:r>
      <w:r w:rsidDel="00000000" w:rsidR="00000000" w:rsidRPr="00000000">
        <w:rPr>
          <w:rtl w:val="0"/>
        </w:rPr>
        <w:t xml:space="preserve"> del Ministerio de Salud y Protección Social, especifica las instrucciones para el diligenciamiento de las variables de tipo y número de identificación en el certificado de nacido vivo y en el certificado de defunción.</w:t>
      </w:r>
    </w:p>
    <w:p w:rsidR="00000000" w:rsidDel="00000000" w:rsidP="00000000" w:rsidRDefault="00000000" w:rsidRPr="00000000" w14:paraId="00000014">
      <w:pPr>
        <w:ind w:left="720" w:firstLine="0"/>
        <w:jc w:val="both"/>
        <w:rPr/>
      </w:pPr>
      <w:r w:rsidDel="00000000" w:rsidR="00000000" w:rsidRPr="00000000">
        <w:rPr>
          <w:rtl w:val="0"/>
        </w:rPr>
        <w:t xml:space="preserve"> </w:t>
      </w:r>
    </w:p>
    <w:p w:rsidR="00000000" w:rsidDel="00000000" w:rsidP="00000000" w:rsidRDefault="00000000" w:rsidRPr="00000000" w14:paraId="00000015">
      <w:pPr>
        <w:ind w:left="720" w:firstLine="720"/>
        <w:jc w:val="both"/>
        <w:rPr/>
      </w:pPr>
      <w:r w:rsidDel="00000000" w:rsidR="00000000" w:rsidRPr="00000000">
        <w:rPr>
          <w:rtl w:val="0"/>
        </w:rPr>
        <w:t xml:space="preserve">En relación con el diligenciamiento de las variables tipo y número de identificación en el certificado de nacido vivo y en el certificado de defunción, la normativa pertinente establece el uso de nuevos tipos de identificación e incluye nuevos tipos de documentos de identidad que permitan reconocer la atención de personas indocumentadas en situación de vulnerabilidad (Resolución 4622 de 2016 del Ministerio de Salud y Protección Social). El documento anexo incluye la descripción de los tipos de documentos permitidos.</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ind w:left="720" w:firstLine="720"/>
        <w:jc w:val="both"/>
        <w:rPr/>
      </w:pPr>
      <w:r w:rsidDel="00000000" w:rsidR="00000000" w:rsidRPr="00000000">
        <w:rPr>
          <w:rtl w:val="0"/>
        </w:rPr>
        <w:t xml:space="preserve">El objetivo principal de este ejercicio es estructurar la representación formal de los tipos de documento que son reconocidos y utilizados en Colombia. La base de datos resultante se convertirá en un recurso esencial para múltiples aplicaciones y sistemas de información que requieran validar, procesar o almacenar datos relacionados con la identificación personal y documentación legal de los ciudadanos colombianos.</w:t>
      </w:r>
    </w:p>
    <w:p w:rsidR="00000000" w:rsidDel="00000000" w:rsidP="00000000" w:rsidRDefault="00000000" w:rsidRPr="00000000" w14:paraId="00000018">
      <w:pPr>
        <w:ind w:left="720"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9">
      <w:pPr>
        <w:ind w:left="720" w:firstLine="720"/>
        <w:jc w:val="both"/>
        <w:rPr/>
      </w:pPr>
      <w:r w:rsidDel="00000000" w:rsidR="00000000" w:rsidRPr="00000000">
        <w:rPr>
          <w:rtl w:val="0"/>
        </w:rPr>
        <w:t xml:space="preserve">Por lo anterior, se requiere diseñar un modelo relacional que permita representar los tipos de documento vigentes en el país. Este modelo servirá como base para el diseño de la base de datos que almacenará la información relacionada con los tipos de documento.</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rtl w:val="0"/>
        </w:rPr>
        <w:t xml:space="preserve">Referencia: </w:t>
      </w:r>
    </w:p>
    <w:p w:rsidR="00000000" w:rsidDel="00000000" w:rsidP="00000000" w:rsidRDefault="00000000" w:rsidRPr="00000000" w14:paraId="0000001C">
      <w:pPr>
        <w:numPr>
          <w:ilvl w:val="0"/>
          <w:numId w:val="3"/>
        </w:numPr>
        <w:ind w:left="1440" w:hanging="360"/>
        <w:jc w:val="both"/>
      </w:pPr>
      <w:hyperlink r:id="rId7">
        <w:r w:rsidDel="00000000" w:rsidR="00000000" w:rsidRPr="00000000">
          <w:rPr>
            <w:color w:val="1155cc"/>
            <w:u w:val="single"/>
            <w:rtl w:val="0"/>
          </w:rPr>
          <w:t xml:space="preserve">https://www.alcaldiabogota.gov.co/sisjur/normas/Norma1.jsp?i=86649&amp;dt=S</w:t>
        </w:r>
      </w:hyperlink>
      <w:r w:rsidDel="00000000" w:rsidR="00000000" w:rsidRPr="00000000">
        <w:rPr>
          <w:rtl w:val="0"/>
        </w:rPr>
        <w:t xml:space="preserve"> </w:t>
      </w:r>
    </w:p>
    <w:p w:rsidR="00000000" w:rsidDel="00000000" w:rsidP="00000000" w:rsidRDefault="00000000" w:rsidRPr="00000000" w14:paraId="0000001D">
      <w:pPr>
        <w:numPr>
          <w:ilvl w:val="0"/>
          <w:numId w:val="3"/>
        </w:numPr>
        <w:ind w:left="1440" w:hanging="360"/>
        <w:jc w:val="both"/>
      </w:pPr>
      <w:hyperlink r:id="rId8">
        <w:r w:rsidDel="00000000" w:rsidR="00000000" w:rsidRPr="00000000">
          <w:rPr>
            <w:color w:val="1155cc"/>
            <w:u w:val="single"/>
            <w:rtl w:val="0"/>
          </w:rPr>
          <w:t xml:space="preserve">https://www.minsalud.gov.co/Normatividad_Nuevo/Circular%20No.%2024%20de%202019.pdf</w:t>
        </w:r>
      </w:hyperlink>
      <w:r w:rsidDel="00000000" w:rsidR="00000000" w:rsidRPr="00000000">
        <w:rPr>
          <w:rtl w:val="0"/>
        </w:rPr>
        <w:t xml:space="preserve"> </w:t>
      </w:r>
    </w:p>
    <w:p w:rsidR="00000000" w:rsidDel="00000000" w:rsidP="00000000" w:rsidRDefault="00000000" w:rsidRPr="00000000" w14:paraId="0000001E">
      <w:pPr>
        <w:jc w:val="both"/>
        <w:rPr>
          <w:b w:val="1"/>
        </w:rPr>
      </w:pPr>
      <w:r w:rsidDel="00000000" w:rsidR="00000000" w:rsidRPr="00000000">
        <w:br w:type="page"/>
      </w:r>
      <w:r w:rsidDel="00000000" w:rsidR="00000000" w:rsidRPr="00000000">
        <w:rPr>
          <w:rtl w:val="0"/>
        </w:rPr>
      </w:r>
    </w:p>
    <w:sectPr>
      <w:pgSz w:h="15840" w:w="12240"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lcaldiabogota.gov.co/sisjur/normas/Norma1.jsp?i=86649&amp;dt=S" TargetMode="External"/><Relationship Id="rId8" Type="http://schemas.openxmlformats.org/officeDocument/2006/relationships/hyperlink" Target="https://www.minsalud.gov.co/Normatividad_Nuevo/Circular%20No.%2024%20de%202019.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