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PROCESO DE GESTIÓN DE FORMACIÓN PROFESIONAL INTEGRAL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FORMATO GUÍA DE APRENDIZAJE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IDENTIFICACIÓN DE LA GUIA DE APRENDIZAJE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Denominación del Programa de Formación: Análisis y Desarrollo de Software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Código del Programa de Formación: 228118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del Proyecto: Construcción de software integrador de tecnologías orientadas a servicios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Fase del Proyecto: Planeación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Actividad de Proyecto:  Determinar la Estructura Lógica y Tecnológica Del Sistema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Competencia: Orientar investigación formativa según referentes técnicos - INVESTIGACIÓN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Resultados de Aprendizaje Alcanzar: Analizar el contexto productivo según sus características y necesidades-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Duración de la Guía: 12 horas</w:t>
      </w:r>
    </w:p>
    <w:p w:rsidR="00000000" w:rsidDel="00000000" w:rsidP="00000000" w:rsidRDefault="00000000" w:rsidRPr="00000000" w14:paraId="0000000E">
      <w:pPr>
        <w:tabs>
          <w:tab w:val="left" w:leader="none" w:pos="4320"/>
          <w:tab w:val="left" w:leader="none" w:pos="4485"/>
          <w:tab w:val="left" w:leader="none" w:pos="5445"/>
        </w:tabs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PRESENTACIÓN</w:t>
      </w:r>
    </w:p>
    <w:p w:rsidR="00000000" w:rsidDel="00000000" w:rsidP="00000000" w:rsidRDefault="00000000" w:rsidRPr="00000000" w14:paraId="0000000F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Estimados aprendices el SENA en su compromiso de brindar integralidad del proceso de formación se encuentra comprometido en brindarles herramientas que amplíen el panorama ocupacional de sus egresados a través de la adquisición y fortalecimiento de nuevas habilidades requeridas en el sector productivo como lo son las investigativas, es por esta razón que realizaremos la contextualización e implementación de los procesos investigativos básicos enmarcados en la metodología investigativa propias de nuestro grupo de investigación GICS.</w:t>
      </w:r>
    </w:p>
    <w:p w:rsidR="00000000" w:rsidDel="00000000" w:rsidP="00000000" w:rsidRDefault="00000000" w:rsidRPr="00000000" w14:paraId="00000010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 esta guía abordaremos la conceptualización de los fundamentos de la investigación aplicada, que nos permitirán recorrer los diferentes tipos, fases, metodologías, técnicas de investigación y la importancia de la implementación de está en el entorno productivo.</w:t>
      </w:r>
    </w:p>
    <w:p w:rsidR="00000000" w:rsidDel="00000000" w:rsidP="00000000" w:rsidRDefault="00000000" w:rsidRPr="00000000" w14:paraId="00000011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 esta manera podrán contextualizar la importancia de la investigación en nuestro entorno y cómo ésta ha sido el motor diferenciador de la evolución del mundo en el que vivimos.</w:t>
      </w:r>
    </w:p>
    <w:p w:rsidR="00000000" w:rsidDel="00000000" w:rsidP="00000000" w:rsidRDefault="00000000" w:rsidRPr="00000000" w14:paraId="00000012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Bienvenidos.</w:t>
      </w:r>
    </w:p>
    <w:p w:rsidR="00000000" w:rsidDel="00000000" w:rsidP="00000000" w:rsidRDefault="00000000" w:rsidRPr="00000000" w14:paraId="00000013">
      <w:pPr>
        <w:tabs>
          <w:tab w:val="left" w:leader="none" w:pos="4320"/>
          <w:tab w:val="left" w:leader="none" w:pos="4485"/>
          <w:tab w:val="left" w:leader="none" w:pos="5445"/>
        </w:tabs>
        <w:spacing w:line="36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4320"/>
          <w:tab w:val="left" w:leader="none" w:pos="4485"/>
          <w:tab w:val="left" w:leader="none" w:pos="5445"/>
        </w:tabs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 FORMULACIÓN DE LAS ACTIVIDADES DE APRENDIZAJE</w:t>
      </w:r>
    </w:p>
    <w:p w:rsidR="00000000" w:rsidDel="00000000" w:rsidP="00000000" w:rsidRDefault="00000000" w:rsidRPr="00000000" w14:paraId="00000015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 continuación, encontrarán las actividades sugeridas para garantizar la apropiación de conocimiento en el área de investigación aplicada a la formación profesional integral</w:t>
      </w:r>
    </w:p>
    <w:p w:rsidR="00000000" w:rsidDel="00000000" w:rsidP="00000000" w:rsidRDefault="00000000" w:rsidRPr="00000000" w14:paraId="00000016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3.1 Actividades de Reflexión inicial.</w:t>
      </w:r>
    </w:p>
    <w:p w:rsidR="00000000" w:rsidDel="00000000" w:rsidP="00000000" w:rsidRDefault="00000000" w:rsidRPr="00000000" w14:paraId="00000017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Todas las comodidades con las que contamos en la actualidad responden a una cadena de investigaciones que aplicadas a un producto en especial han logrado grandes saltos evolutivos que han cambiado nuestro entorno y que están en constante evolución revolucionando la forma en la que realizamos nuestras actividades cotidianas dentro nuestro diario vivir.</w:t>
      </w:r>
    </w:p>
    <w:p w:rsidR="00000000" w:rsidDel="00000000" w:rsidP="00000000" w:rsidRDefault="00000000" w:rsidRPr="00000000" w14:paraId="00000018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 alguna ocasión usted se ha realizado alguna de estas preguntas: 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¿Qué investigaciones se han llevado a cabo para que las herramientas tecnológicas que utilizamos en la actualidad hayan llegado al nivel que se encuentran?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tabs>
          <w:tab w:val="left" w:leader="none" w:pos="4320"/>
          <w:tab w:val="left" w:leader="none" w:pos="4485"/>
          <w:tab w:val="left" w:leader="none" w:pos="5445"/>
        </w:tabs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¿Qué inventos han marcado la evolución de nuestra sociedad?</w:t>
      </w:r>
    </w:p>
    <w:p w:rsidR="00000000" w:rsidDel="00000000" w:rsidP="00000000" w:rsidRDefault="00000000" w:rsidRPr="00000000" w14:paraId="0000001B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Los invitamos a realizar la siguiente reflexión:  </w:t>
      </w:r>
    </w:p>
    <w:p w:rsidR="00000000" w:rsidDel="00000000" w:rsidP="00000000" w:rsidRDefault="00000000" w:rsidRPr="00000000" w14:paraId="0000001C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Como ha sido la evolución del automóvil y que inventos se han colocado al servicio de dicha evolución </w:t>
      </w:r>
    </w:p>
    <w:p w:rsidR="00000000" w:rsidDel="00000000" w:rsidP="00000000" w:rsidRDefault="00000000" w:rsidRPr="00000000" w14:paraId="0000001D">
      <w:pPr>
        <w:spacing w:after="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3735948" cy="2902988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948" cy="290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Un breve resumen:</w:t>
      </w:r>
    </w:p>
    <w:p w:rsidR="00000000" w:rsidDel="00000000" w:rsidP="00000000" w:rsidRDefault="00000000" w:rsidRPr="00000000" w14:paraId="00000020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024063" cy="1608644"/>
            <wp:effectExtent b="0" l="0" r="0" t="0"/>
            <wp:docPr descr="Interfaz de usuario gráfica, Texto&#10;&#10;Descripción generada automáticamente" id="28" name="image2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1608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Fuente: https://www.youtube.com/c/DopaminaTV</w:t>
      </w:r>
    </w:p>
    <w:p w:rsidR="00000000" w:rsidDel="00000000" w:rsidP="00000000" w:rsidRDefault="00000000" w:rsidRPr="00000000" w14:paraId="00000022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La Historia Del Automovil </w:t>
        </w:r>
      </w:hyperlink>
      <w:hyperlink r:id="rId10">
        <w:r w:rsidDel="00000000" w:rsidR="00000000" w:rsidRPr="00000000">
          <w:rPr>
            <w:rFonts w:ascii="Quattrocento Sans" w:cs="Quattrocento Sans" w:eastAsia="Quattrocento Sans" w:hAnsi="Quattrocento Sans"/>
            <w:color w:val="0000ee"/>
            <w:u w:val="single"/>
            <w:rtl w:val="0"/>
          </w:rPr>
          <w:t xml:space="preserve">🚗</w:t>
        </w:r>
      </w:hyperlink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(en 6 minutos 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https://www.youtube.com/watch?v=h2c_yY7odS8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Actividad: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Los instructores en común acuerdo con los aprendices acordarán un tema de investigación importante y pertinente con la formación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TEMAS: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Inteligencia Artificial y Aprendizaje Automático: Avances en algoritmos, procesamiento de lenguaje natural, y aplicaciones en diversas industrias.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Ciberseguridad: Estrategias para proteger datos y sistemas frente a amenazas cibernéticas cada vez más sofisticadas.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Internet de las Cosas (IoT): Desarrollo de dispositivos conectados y su integración en la vida cotidiana y en la industria.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Computación Cuántica: Investigación en nuevos paradigmas computacionales que podrían revolucionar el procesamiento de datos.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Blockchain y Criptomonedas: Aplicaciones más allá de las finanzas, como en la trazabilidad y la seguridad de datos.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Biotecnología: Innovaciones en medicina, agricultura y sostenibilidad, como la edición genética y terapias avanzadas.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Energías Renovables: Desarrollo de tecnologías limpias y sostenibles para combatir el cambio climático.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Realidad Aumentada y Realidad Virtual:Aplicaciones en entretenimiento, educación y formación profesional.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5G y Conectividad: Impacto de las nuevas redes en la comunicación y el desarrollo de tecnologías emergentes.</w:t>
      </w:r>
    </w:p>
    <w:p w:rsidR="00000000" w:rsidDel="00000000" w:rsidP="00000000" w:rsidRDefault="00000000" w:rsidRPr="00000000" w14:paraId="00000030">
      <w:p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Automatización y Robótica: Avances en la automatización de procesos y el uso de robots en diversas industrias.</w:t>
      </w:r>
    </w:p>
    <w:p w:rsidR="00000000" w:rsidDel="00000000" w:rsidP="00000000" w:rsidRDefault="00000000" w:rsidRPr="00000000" w14:paraId="00000031">
      <w:p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Después de haber definido el tema a explorar el aprendiz debe realizar una investigación que le permita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yellow"/>
          <w:rtl w:val="0"/>
        </w:rPr>
        <w:t xml:space="preserve">contextualizar la temática sugerida y evidenciar los diferentes adelantos tecnológicos(inventos) que han contribuido a su crecimiento y posicionamiento como lo evidenciamos en el ejemplo anterior.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spacing w:after="0" w:lineRule="auto"/>
        <w:ind w:left="720" w:hanging="360"/>
        <w:jc w:val="both"/>
        <w:rPr>
          <w:rFonts w:ascii="Arial" w:cs="Arial" w:eastAsia="Arial" w:hAnsi="Arial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Realizar un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yellow"/>
          <w:rtl w:val="0"/>
        </w:rPr>
        <w:t xml:space="preserve">mapa mental individual de cada adelanto tecnológico en el que se evidencie su crecimiento y etapas de maduración.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tabs>
          <w:tab w:val="left" w:leader="none" w:pos="4320"/>
          <w:tab w:val="left" w:leader="none" w:pos="4485"/>
          <w:tab w:val="left" w:leader="none" w:pos="5445"/>
        </w:tabs>
        <w:ind w:left="720" w:hanging="360"/>
        <w:jc w:val="both"/>
        <w:rPr>
          <w:rFonts w:ascii="Arial" w:cs="Arial" w:eastAsia="Arial" w:hAnsi="Arial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Realizar una </w:t>
      </w:r>
      <w:r w:rsidDel="00000000" w:rsidR="00000000" w:rsidRPr="00000000">
        <w:rPr>
          <w:rFonts w:ascii="Arial" w:cs="Arial" w:eastAsia="Arial" w:hAnsi="Arial"/>
          <w:sz w:val="20"/>
          <w:szCs w:val="20"/>
          <w:highlight w:val="yellow"/>
          <w:rtl w:val="0"/>
        </w:rPr>
        <w:t xml:space="preserve">línea de tiempo del tema de investigación que se concordó con el instructor en el que se evidencie su crecimiento.</w:t>
      </w:r>
    </w:p>
    <w:p w:rsidR="00000000" w:rsidDel="00000000" w:rsidP="00000000" w:rsidRDefault="00000000" w:rsidRPr="00000000" w14:paraId="00000035">
      <w:pPr>
        <w:tabs>
          <w:tab w:val="left" w:leader="none" w:pos="4320"/>
          <w:tab w:val="left" w:leader="none" w:pos="4485"/>
          <w:tab w:val="left" w:leader="none" w:pos="5445"/>
        </w:tabs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Evidencia de Aprendizaje: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El aprendiz deberá realizar un informe en el que se integren las actividades sugeridas en los puntos anteriores, se sugiere que se utilicen herramientas didácticas para realizar estos entregables.</w:t>
      </w:r>
    </w:p>
    <w:p w:rsidR="00000000" w:rsidDel="00000000" w:rsidP="00000000" w:rsidRDefault="00000000" w:rsidRPr="00000000" w14:paraId="00000036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4. ACTIVIDADES DE EVALUACIÓN</w:t>
      </w:r>
    </w:p>
    <w:p w:rsidR="00000000" w:rsidDel="00000000" w:rsidP="00000000" w:rsidRDefault="00000000" w:rsidRPr="00000000" w14:paraId="00000039">
      <w:pPr>
        <w:spacing w:after="0" w:line="360" w:lineRule="auto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36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Tome como referencia la técnica e instrumentos de evaluación citados en la guía de Desarrollo Curricular </w:t>
      </w:r>
    </w:p>
    <w:tbl>
      <w:tblPr>
        <w:tblStyle w:val="Table1"/>
        <w:tblW w:w="9629.0" w:type="dxa"/>
        <w:jc w:val="left"/>
        <w:tblBorders>
          <w:top w:color="14967c" w:space="0" w:sz="8" w:val="single"/>
          <w:left w:color="14967c" w:space="0" w:sz="8" w:val="single"/>
          <w:bottom w:color="14967c" w:space="0" w:sz="8" w:val="single"/>
          <w:right w:color="14967c" w:space="0" w:sz="8" w:val="single"/>
          <w:insideH w:color="14967c" w:space="0" w:sz="8" w:val="single"/>
          <w:insideV w:color="14967c" w:space="0" w:sz="8" w:val="single"/>
        </w:tblBorders>
        <w:tblLayout w:type="fixed"/>
        <w:tblLook w:val="0400"/>
      </w:tblPr>
      <w:tblGrid>
        <w:gridCol w:w="3269"/>
        <w:gridCol w:w="3100"/>
        <w:gridCol w:w="3260"/>
        <w:tblGridChange w:id="0">
          <w:tblGrid>
            <w:gridCol w:w="3269"/>
            <w:gridCol w:w="3100"/>
            <w:gridCol w:w="3260"/>
          </w:tblGrid>
        </w:tblGridChange>
      </w:tblGrid>
      <w:tr>
        <w:trPr>
          <w:cantSplit w:val="0"/>
          <w:trHeight w:val="451" w:hRule="atLeast"/>
          <w:tblHeader w:val="0"/>
        </w:trPr>
        <w:tc>
          <w:tcPr>
            <w:shd w:fill="262626" w:val="clear"/>
          </w:tcPr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Evidencias de Aprendizaje</w:t>
            </w:r>
          </w:p>
        </w:tc>
        <w:tc>
          <w:tcPr>
            <w:shd w:fill="262626" w:val="clear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Criterios de Evaluación</w:t>
            </w:r>
          </w:p>
        </w:tc>
        <w:tc>
          <w:tcPr>
            <w:shd w:fill="262626" w:val="clear"/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Técnicas e Instrumentos de Evaluación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Evidencias de Conocimiento:</w:t>
            </w:r>
          </w:p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Cuestionario de conocimientos previos, conocimientos adquiridos en la guía</w:t>
            </w:r>
          </w:p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Evidencias de Desempeño</w:t>
            </w:r>
          </w:p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 eficazmente la organización de información.</w:t>
            </w:r>
          </w:p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Genera documentación a partir de investigaciones realizadas.</w:t>
            </w:r>
          </w:p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Evidencias de Producto:</w:t>
            </w:r>
          </w:p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Documento investigativo con normas APA 7.</w:t>
            </w:r>
          </w:p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Documento audiovisual.</w:t>
            </w:r>
          </w:p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Glosario de Términos.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Mapa Mental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330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 investigaciones inmersivas adquiriendo habilidades argumentativas.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330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 informes escritos aplicando normas APA 7, garantizando completitud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Mesa redonda</w:t>
            </w:r>
          </w:p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Lluvia de ideas</w:t>
            </w:r>
          </w:p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Estudio de casos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spacing w:after="0" w:line="360" w:lineRule="auto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GLOSARIO DE TÉRMINOS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 REFERENTES BILBIOGRÁFICOS</w:t>
      </w:r>
    </w:p>
    <w:p w:rsidR="00000000" w:rsidDel="00000000" w:rsidP="00000000" w:rsidRDefault="00000000" w:rsidRPr="00000000" w14:paraId="0000005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Construya o cite documentos de apoyo para el desarrollo de la guía, según lo establecido en la guía de desarrollo curricular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7. CONTROL DEL DOCUMENTO</w:t>
      </w:r>
    </w:p>
    <w:tbl>
      <w:tblPr>
        <w:tblStyle w:val="Table2"/>
        <w:tblW w:w="974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03"/>
        <w:gridCol w:w="2571"/>
        <w:gridCol w:w="1520"/>
        <w:gridCol w:w="2040"/>
        <w:gridCol w:w="2413"/>
        <w:tblGridChange w:id="0">
          <w:tblGrid>
            <w:gridCol w:w="1203"/>
            <w:gridCol w:w="2571"/>
            <w:gridCol w:w="1520"/>
            <w:gridCol w:w="2040"/>
            <w:gridCol w:w="24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Dependencia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 (es)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William Navarro Núñez</w:t>
            </w:r>
          </w:p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Sonia Elizabeth Cárdenas Urrea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Instructor</w:t>
            </w:r>
          </w:p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Instructor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Telecomunicaciones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Telecomunicaciones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Mayo de 2022</w:t>
            </w:r>
          </w:p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Mayo de 2022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CONTROL DE CAMBIOS </w:t>
      </w:r>
      <w:r w:rsidDel="00000000" w:rsidR="00000000" w:rsidRPr="00000000">
        <w:rPr>
          <w:rtl w:val="0"/>
        </w:rPr>
        <w:t xml:space="preserve">(diligenciar únicamente si realiza ajustes a la guía)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5"/>
        <w:gridCol w:w="2700"/>
        <w:gridCol w:w="1560"/>
        <w:gridCol w:w="1125"/>
        <w:gridCol w:w="1470"/>
        <w:gridCol w:w="1665"/>
        <w:tblGridChange w:id="0">
          <w:tblGrid>
            <w:gridCol w:w="1245"/>
            <w:gridCol w:w="2700"/>
            <w:gridCol w:w="1560"/>
            <w:gridCol w:w="1125"/>
            <w:gridCol w:w="1470"/>
            <w:gridCol w:w="1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Dependencia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Razón del Cambio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 (es)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DANIELA ALEJANDRA CUENCA SACRISTÁN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INSTRUCTORA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7/10/2024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ADECUACIÓN CRONOGRAMA</w:t>
            </w:r>
          </w:p>
        </w:tc>
      </w:tr>
    </w:tbl>
    <w:p w:rsidR="00000000" w:rsidDel="00000000" w:rsidP="00000000" w:rsidRDefault="00000000" w:rsidRPr="00000000" w14:paraId="00000073">
      <w:pPr>
        <w:spacing w:after="0" w:line="360" w:lineRule="auto"/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pgSz w:h="15840" w:w="12240" w:orient="portrait"/>
      <w:pgMar w:bottom="1418" w:top="1779" w:left="1560" w:right="104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entury Gothic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595959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GFPI-F-135 V02</w:t>
    </w:r>
  </w:p>
  <w:p w:rsidR="00000000" w:rsidDel="00000000" w:rsidP="00000000" w:rsidRDefault="00000000" w:rsidRPr="00000000" w14:paraId="000000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                </w:t>
    </w:r>
  </w:p>
  <w:p w:rsidR="00000000" w:rsidDel="00000000" w:rsidP="00000000" w:rsidRDefault="00000000" w:rsidRPr="00000000" w14:paraId="000000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right" w:leader="none" w:pos="8413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592455" cy="561340"/>
          <wp:effectExtent b="0" l="0" r="0" t="0"/>
          <wp:docPr id="2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2455" cy="5613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jc w:val="center"/>
    </w:pPr>
    <w:rPr>
      <w:b w:val="1"/>
      <w:color w:val="262626"/>
      <w:sz w:val="28"/>
      <w:szCs w:val="28"/>
    </w:rPr>
  </w:style>
  <w:style w:type="paragraph" w:styleId="Heading2">
    <w:name w:val="heading 2"/>
    <w:basedOn w:val="Normal"/>
    <w:next w:val="Normal"/>
    <w:pPr>
      <w:spacing w:line="240" w:lineRule="auto"/>
      <w:jc w:val="center"/>
    </w:pPr>
    <w:rPr>
      <w:color w:val="2626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entury Gothic" w:cs="Century Gothic" w:eastAsia="Century Gothic" w:hAnsi="Century Gothic"/>
      <w:b w:val="1"/>
      <w:color w:val="052f6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 w:val="1"/>
    <w:pPr>
      <w:spacing w:line="360" w:lineRule="auto"/>
      <w:jc w:val="center"/>
      <w:outlineLvl w:val="0"/>
    </w:pPr>
    <w:rPr>
      <w:rFonts w:cs="Arial"/>
      <w:b w:val="1"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052f61" w:themeColor="accent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Listamulticolor-nfasis11" w:customStyle="1">
    <w:name w:val="Lista multicolor - Énfasis 11"/>
    <w:basedOn w:val="Normal"/>
    <w:uiPriority w:val="34"/>
    <w:qFormat w:val="1"/>
    <w:pPr>
      <w:ind w:left="720"/>
      <w:contextualSpacing w:val="1"/>
    </w:pPr>
  </w:style>
  <w:style w:type="paragraph" w:styleId="Encabezado">
    <w:name w:val="header"/>
    <w:basedOn w:val="Normal"/>
    <w:link w:val="EncabezadoCar"/>
    <w:unhideWhenUsed w:val="1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 w:val="1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pPr>
      <w:spacing w:after="0" w:line="240" w:lineRule="auto"/>
    </w:pPr>
    <w:rPr>
      <w:rFonts w:ascii="Lucida Grande" w:cs="Lucida Grande" w:hAnsi="Lucida Grande"/>
      <w:sz w:val="18"/>
      <w:szCs w:val="18"/>
    </w:rPr>
  </w:style>
  <w:style w:type="character" w:styleId="TextodegloboCar" w:customStyle="1">
    <w:name w:val="Texto de globo Car"/>
    <w:link w:val="Textodeglobo"/>
    <w:uiPriority w:val="99"/>
    <w:semiHidden w:val="1"/>
    <w:rPr>
      <w:rFonts w:ascii="Lucida Grande" w:cs="Lucida Grande" w:hAnsi="Lucida Grande"/>
      <w:sz w:val="18"/>
      <w:szCs w:val="18"/>
    </w:rPr>
  </w:style>
  <w:style w:type="character" w:styleId="EncabezadoCar1" w:customStyle="1">
    <w:name w:val="Encabezado Car1"/>
    <w:rPr>
      <w:rFonts w:ascii="Calibri" w:eastAsia="Calibri" w:hAnsi="Calibri"/>
      <w:sz w:val="22"/>
      <w:szCs w:val="22"/>
      <w:lang w:eastAsia="ar-SA"/>
    </w:rPr>
  </w:style>
  <w:style w:type="character" w:styleId="Ttulo1Car" w:customStyle="1">
    <w:name w:val="Título 1 Car"/>
    <w:link w:val="Ttulo1"/>
    <w:uiPriority w:val="9"/>
    <w:rPr>
      <w:rFonts w:cs="Arial"/>
      <w:b w:val="1"/>
      <w:color w:val="262626"/>
      <w:sz w:val="28"/>
      <w:szCs w:val="24"/>
      <w:lang w:eastAsia="en-US"/>
    </w:rPr>
  </w:style>
  <w:style w:type="character" w:styleId="Ttulo2Car" w:customStyle="1">
    <w:name w:val="Título 2 Car"/>
    <w:link w:val="Ttulo2"/>
    <w:uiPriority w:val="9"/>
    <w:rPr>
      <w:rFonts w:cs="Arial"/>
      <w:color w:val="262626"/>
      <w:sz w:val="22"/>
      <w:szCs w:val="24"/>
      <w:lang w:eastAsia="en-US"/>
    </w:rPr>
  </w:style>
  <w:style w:type="paragraph" w:styleId="Prrafodelista">
    <w:name w:val="List Paragraph"/>
    <w:basedOn w:val="Normal"/>
    <w:link w:val="PrrafodelistaCar"/>
    <w:uiPriority w:val="34"/>
    <w:qFormat w:val="1"/>
    <w:pPr>
      <w:ind w:left="720"/>
      <w:contextualSpacing w:val="1"/>
    </w:pPr>
    <w:rPr>
      <w:rFonts w:asciiTheme="minorHAnsi" w:cstheme="minorBidi" w:eastAsiaTheme="minorHAnsi" w:hAnsiTheme="minorHAnsi"/>
    </w:rPr>
  </w:style>
  <w:style w:type="character" w:styleId="PrrafodelistaCar" w:customStyle="1">
    <w:name w:val="Párrafo de lista Car"/>
    <w:link w:val="Prrafodelista"/>
    <w:uiPriority w:val="34"/>
    <w:rPr>
      <w:rFonts w:asciiTheme="minorHAnsi" w:cstheme="minorBidi" w:eastAsiaTheme="minorHAnsi" w:hAnsiTheme="minorHAnsi"/>
      <w:sz w:val="22"/>
      <w:szCs w:val="22"/>
      <w:lang w:eastAsia="en-US"/>
    </w:rPr>
  </w:style>
  <w:style w:type="numbering" w:styleId="Estilo1" w:customStyle="1">
    <w:name w:val="Estilo1"/>
    <w:uiPriority w:val="99"/>
    <w:pPr>
      <w:numPr>
        <w:numId w:val="1"/>
      </w:numPr>
    </w:pPr>
  </w:style>
  <w:style w:type="paragraph" w:styleId="TtuloTDC">
    <w:name w:val="TOC Heading"/>
    <w:basedOn w:val="Ttulo1"/>
    <w:next w:val="Normal"/>
    <w:uiPriority w:val="39"/>
    <w:unhideWhenUsed w:val="1"/>
    <w:qFormat w:val="1"/>
    <w:pPr>
      <w:keepNext w:val="1"/>
      <w:keepLines w:val="1"/>
      <w:spacing w:after="0" w:before="240" w:line="259" w:lineRule="auto"/>
      <w:jc w:val="left"/>
      <w:outlineLvl w:val="9"/>
    </w:pPr>
    <w:rPr>
      <w:rFonts w:asciiTheme="majorHAnsi" w:cstheme="majorBidi" w:eastAsiaTheme="majorEastAsia" w:hAnsiTheme="majorHAnsi"/>
      <w:b w:val="0"/>
      <w:color w:val="032348" w:themeColor="accent1" w:themeShade="0000BF"/>
      <w:sz w:val="32"/>
      <w:szCs w:val="32"/>
      <w:lang w:eastAsia="es-CO"/>
    </w:rPr>
  </w:style>
  <w:style w:type="paragraph" w:styleId="TDC1">
    <w:name w:val="toc 1"/>
    <w:basedOn w:val="Normal"/>
    <w:next w:val="Normal"/>
    <w:autoRedefine w:val="1"/>
    <w:uiPriority w:val="39"/>
    <w:unhideWhenUsed w:val="1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Pr>
      <w:color w:val="0d2e46" w:themeColor="hyperlink"/>
      <w:u w:val="single"/>
    </w:rPr>
  </w:style>
  <w:style w:type="table" w:styleId="Tabladecuadrcula4-nfasis11" w:customStyle="1">
    <w:name w:val="Tabla de cuadrícula 4 - Énfasis 11"/>
    <w:basedOn w:val="Tablanormal"/>
    <w:uiPriority w:val="49"/>
    <w:tblPr>
      <w:tblStyleRowBandSize w:val="1"/>
      <w:tblStyleColBandSize w:val="1"/>
      <w:tblBorders>
        <w:top w:color="167af3" w:space="0" w:sz="4" w:themeColor="accent1" w:themeTint="000099" w:val="single"/>
        <w:left w:color="167af3" w:space="0" w:sz="4" w:themeColor="accent1" w:themeTint="000099" w:val="single"/>
        <w:bottom w:color="167af3" w:space="0" w:sz="4" w:themeColor="accent1" w:themeTint="000099" w:val="single"/>
        <w:right w:color="167af3" w:space="0" w:sz="4" w:themeColor="accent1" w:themeTint="000099" w:val="single"/>
        <w:insideH w:color="167af3" w:space="0" w:sz="4" w:themeColor="accent1" w:themeTint="000099" w:val="single"/>
        <w:insideV w:color="167af3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52f61" w:space="0" w:sz="4" w:themeColor="accent1" w:val="single"/>
          <w:left w:color="052f61" w:space="0" w:sz="4" w:themeColor="accent1" w:val="single"/>
          <w:bottom w:color="052f61" w:space="0" w:sz="4" w:themeColor="accent1" w:val="single"/>
          <w:right w:color="052f61" w:space="0" w:sz="4" w:themeColor="accent1" w:val="single"/>
          <w:insideH w:space="0" w:sz="0" w:val="nil"/>
          <w:insideV w:space="0" w:sz="0" w:val="nil"/>
        </w:tcBorders>
        <w:shd w:color="auto" w:fill="052f61" w:themeFill="accent1" w:val="clear"/>
      </w:tcPr>
    </w:tblStylePr>
    <w:tblStylePr w:type="lastRow">
      <w:rPr>
        <w:b w:val="1"/>
        <w:bCs w:val="1"/>
      </w:rPr>
      <w:tblPr/>
      <w:tcPr>
        <w:tcBorders>
          <w:top w:color="052f61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1d2fb" w:themeFill="accent1" w:themeFillTint="000033" w:val="clear"/>
      </w:tcPr>
    </w:tblStylePr>
    <w:tblStylePr w:type="band1Horz">
      <w:tblPr/>
      <w:tcPr>
        <w:shd w:color="auto" w:fill="b1d2fb" w:themeFill="accent1" w:themeFillTint="000033" w:val="clear"/>
      </w:tcPr>
    </w:tblStylePr>
  </w:style>
  <w:style w:type="table" w:styleId="Tablaconcuadrcula">
    <w:name w:val="Table Grid"/>
    <w:basedOn w:val="Tablanormal"/>
    <w:uiPriority w:val="5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Refdecomentario">
    <w:name w:val="annotation reference"/>
    <w:basedOn w:val="Fuentedeprrafopredeter"/>
    <w:uiPriority w:val="99"/>
    <w:semiHidden w:val="1"/>
    <w:unhideWhenUsed w:val="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Pr>
      <w:b w:val="1"/>
      <w:bCs w:val="1"/>
      <w:lang w:eastAsia="en-US"/>
    </w:rPr>
  </w:style>
  <w:style w:type="paragraph" w:styleId="Sinespaciado">
    <w:name w:val="No Spacing"/>
    <w:link w:val="SinespaciadoCar"/>
    <w:uiPriority w:val="1"/>
    <w:qFormat w:val="1"/>
    <w:rPr>
      <w:rFonts w:asciiTheme="minorHAnsi" w:cstheme="minorBidi" w:eastAsiaTheme="minorEastAsia" w:hAnsiTheme="minorHAnsi"/>
      <w:sz w:val="22"/>
      <w:szCs w:val="22"/>
      <w:lang w:eastAsia="es-CO"/>
    </w:rPr>
  </w:style>
  <w:style w:type="character" w:styleId="SinespaciadoCar" w:customStyle="1">
    <w:name w:val="Sin espaciado Car"/>
    <w:basedOn w:val="Fuentedeprrafopredeter"/>
    <w:link w:val="Sinespaciado"/>
    <w:uiPriority w:val="1"/>
    <w:rPr>
      <w:rFonts w:asciiTheme="minorHAnsi" w:cstheme="minorBidi" w:eastAsiaTheme="minorEastAsia" w:hAnsiTheme="minorHAnsi"/>
      <w:sz w:val="22"/>
      <w:szCs w:val="22"/>
      <w:lang w:eastAsia="es-CO"/>
    </w:rPr>
  </w:style>
  <w:style w:type="character" w:styleId="Ttulo3Car" w:customStyle="1">
    <w:name w:val="Título 3 Car"/>
    <w:basedOn w:val="Fuentedeprrafopredeter"/>
    <w:link w:val="Ttulo3"/>
    <w:uiPriority w:val="9"/>
    <w:rPr>
      <w:rFonts w:asciiTheme="majorHAnsi" w:cstheme="majorBidi" w:eastAsiaTheme="majorEastAsia" w:hAnsiTheme="majorHAnsi"/>
      <w:b w:val="1"/>
      <w:bCs w:val="1"/>
      <w:color w:val="052f61" w:themeColor="accent1"/>
      <w:sz w:val="22"/>
      <w:szCs w:val="22"/>
      <w:lang w:eastAsia="en-US"/>
    </w:rPr>
  </w:style>
  <w:style w:type="paragraph" w:styleId="TDC3">
    <w:name w:val="toc 3"/>
    <w:basedOn w:val="Normal"/>
    <w:next w:val="Normal"/>
    <w:autoRedefine w:val="1"/>
    <w:uiPriority w:val="39"/>
    <w:unhideWhenUsed w:val="1"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pPr>
      <w:spacing w:after="0" w:line="240" w:lineRule="auto"/>
    </w:pPr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Pr>
      <w:lang w:eastAsia="en-US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Pr>
      <w:vertAlign w:val="superscript"/>
    </w:r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color="14967c" w:space="0" w:sz="8" w:themeColor="accent3" w:val="single"/>
        <w:left w:color="14967c" w:space="0" w:sz="8" w:themeColor="accent3" w:val="single"/>
        <w:bottom w:color="14967c" w:space="0" w:sz="8" w:themeColor="accent3" w:val="single"/>
        <w:right w:color="14967c" w:space="0" w:sz="8" w:themeColor="accent3" w:val="single"/>
        <w:insideH w:color="14967c" w:space="0" w:sz="8" w:themeColor="accent3" w:val="single"/>
        <w:insideV w:color="14967c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14967c" w:space="0" w:sz="8" w:themeColor="accent3" w:val="single"/>
          <w:left w:color="14967c" w:space="0" w:sz="8" w:themeColor="accent3" w:val="single"/>
          <w:bottom w:color="14967c" w:space="0" w:sz="18" w:themeColor="accent3" w:val="single"/>
          <w:right w:color="14967c" w:space="0" w:sz="8" w:themeColor="accent3" w:val="single"/>
          <w:insideH w:space="0" w:sz="0" w:val="nil"/>
          <w:insideV w:color="14967c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14967c" w:space="0" w:sz="6" w:themeColor="accent3" w:val="double"/>
          <w:left w:color="14967c" w:space="0" w:sz="8" w:themeColor="accent3" w:val="single"/>
          <w:bottom w:color="14967c" w:space="0" w:sz="8" w:themeColor="accent3" w:val="single"/>
          <w:right w:color="14967c" w:space="0" w:sz="8" w:themeColor="accent3" w:val="single"/>
          <w:insideH w:space="0" w:sz="0" w:val="nil"/>
          <w:insideV w:color="14967c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14967c" w:space="0" w:sz="8" w:themeColor="accent3" w:val="single"/>
          <w:left w:color="14967c" w:space="0" w:sz="8" w:themeColor="accent3" w:val="single"/>
          <w:bottom w:color="14967c" w:space="0" w:sz="8" w:themeColor="accent3" w:val="single"/>
          <w:right w:color="14967c" w:space="0" w:sz="8" w:themeColor="accent3" w:val="single"/>
        </w:tcBorders>
      </w:tcPr>
    </w:tblStylePr>
    <w:tblStylePr w:type="band1Vert">
      <w:tblPr/>
      <w:tcPr>
        <w:tcBorders>
          <w:top w:color="14967c" w:space="0" w:sz="8" w:themeColor="accent3" w:val="single"/>
          <w:left w:color="14967c" w:space="0" w:sz="8" w:themeColor="accent3" w:val="single"/>
          <w:bottom w:color="14967c" w:space="0" w:sz="8" w:themeColor="accent3" w:val="single"/>
          <w:right w:color="14967c" w:space="0" w:sz="8" w:themeColor="accent3" w:val="single"/>
        </w:tcBorders>
        <w:shd w:color="auto" w:fill="b4f5e8" w:themeFill="accent3" w:themeFillTint="00003F" w:val="clear"/>
      </w:tcPr>
    </w:tblStylePr>
    <w:tblStylePr w:type="band1Horz">
      <w:tblPr/>
      <w:tcPr>
        <w:tcBorders>
          <w:top w:color="14967c" w:space="0" w:sz="8" w:themeColor="accent3" w:val="single"/>
          <w:left w:color="14967c" w:space="0" w:sz="8" w:themeColor="accent3" w:val="single"/>
          <w:bottom w:color="14967c" w:space="0" w:sz="8" w:themeColor="accent3" w:val="single"/>
          <w:right w:color="14967c" w:space="0" w:sz="8" w:themeColor="accent3" w:val="single"/>
          <w:insideV w:color="14967c" w:space="0" w:sz="8" w:themeColor="accent3" w:val="single"/>
        </w:tcBorders>
        <w:shd w:color="auto" w:fill="b4f5e8" w:themeFill="accent3" w:themeFillTint="00003F" w:val="clear"/>
      </w:tcPr>
    </w:tblStylePr>
    <w:tblStylePr w:type="band2Horz">
      <w:tblPr/>
      <w:tcPr>
        <w:tcBorders>
          <w:top w:color="14967c" w:space="0" w:sz="8" w:themeColor="accent3" w:val="single"/>
          <w:left w:color="14967c" w:space="0" w:sz="8" w:themeColor="accent3" w:val="single"/>
          <w:bottom w:color="14967c" w:space="0" w:sz="8" w:themeColor="accent3" w:val="single"/>
          <w:right w:color="14967c" w:space="0" w:sz="8" w:themeColor="accent3" w:val="single"/>
          <w:insideV w:color="14967c" w:space="0" w:sz="8" w:themeColor="accent3" w:val="single"/>
        </w:tcBorders>
      </w:tcPr>
    </w:tblStylePr>
  </w:style>
  <w:style w:type="paragraph" w:styleId="NormalWeb">
    <w:name w:val="Normal (Web)"/>
    <w:basedOn w:val="Normal"/>
    <w:uiPriority w:val="99"/>
    <w:unhideWhenUsed w:val="1"/>
    <w:pPr>
      <w:spacing w:after="100" w:afterAutospacing="1" w:before="100" w:beforeAutospacing="1" w:line="240" w:lineRule="auto"/>
    </w:pPr>
    <w:rPr>
      <w:rFonts w:ascii="Times New Roman" w:hAnsi="Times New Roman" w:eastAsiaTheme="minorEastAsia"/>
      <w:sz w:val="24"/>
      <w:szCs w:val="24"/>
      <w:lang w:eastAsia="es-CO"/>
    </w:rPr>
  </w:style>
  <w:style w:type="paragraph" w:styleId="Default" w:customStyle="1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 w:val="1"/>
    <w:rPr>
      <w:b w:val="1"/>
      <w:bCs w:val="1"/>
    </w:rPr>
  </w:style>
  <w:style w:type="character" w:styleId="apple-converted-space" w:customStyle="1">
    <w:name w:val="apple-converted-space"/>
    <w:basedOn w:val="Fuentedeprrafopredeter"/>
  </w:style>
  <w:style w:type="paragraph" w:styleId="z-Principiodelformulario">
    <w:name w:val="HTML Top of Form"/>
    <w:basedOn w:val="Normal"/>
    <w:next w:val="Normal"/>
    <w:link w:val="z-PrincipiodelformularioCar"/>
    <w:hidden w:val="1"/>
    <w:uiPriority w:val="99"/>
    <w:semiHidden w:val="1"/>
    <w:unhideWhenUsed w:val="1"/>
    <w:pPr>
      <w:pBdr>
        <w:bottom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vanish w:val="1"/>
      <w:sz w:val="16"/>
      <w:szCs w:val="16"/>
      <w:lang w:eastAsia="es-CO"/>
    </w:rPr>
  </w:style>
  <w:style w:type="character" w:styleId="z-PrincipiodelformularioCar" w:customStyle="1">
    <w:name w:val="z-Principio del formulario Car"/>
    <w:basedOn w:val="Fuentedeprrafopredeter"/>
    <w:link w:val="z-Principiodelformulario"/>
    <w:uiPriority w:val="99"/>
    <w:semiHidden w:val="1"/>
    <w:rPr>
      <w:rFonts w:ascii="Arial" w:cs="Arial" w:eastAsia="Times New Roman" w:hAnsi="Arial"/>
      <w:vanish w:val="1"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 w:val="1"/>
    <w:uiPriority w:val="99"/>
    <w:semiHidden w:val="1"/>
    <w:unhideWhenUsed w:val="1"/>
    <w:pPr>
      <w:pBdr>
        <w:top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vanish w:val="1"/>
      <w:sz w:val="16"/>
      <w:szCs w:val="16"/>
      <w:lang w:eastAsia="es-CO"/>
    </w:rPr>
  </w:style>
  <w:style w:type="character" w:styleId="z-FinaldelformularioCar" w:customStyle="1">
    <w:name w:val="z-Final del formulario Car"/>
    <w:basedOn w:val="Fuentedeprrafopredeter"/>
    <w:link w:val="z-Finaldelformulario"/>
    <w:uiPriority w:val="99"/>
    <w:semiHidden w:val="1"/>
    <w:rPr>
      <w:rFonts w:ascii="Arial" w:cs="Arial" w:eastAsia="Times New Roman" w:hAnsi="Arial"/>
      <w:vanish w:val="1"/>
      <w:sz w:val="16"/>
      <w:szCs w:val="16"/>
      <w:lang w:eastAsia="es-CO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h2c_yY7odS8" TargetMode="External"/><Relationship Id="rId10" Type="http://schemas.openxmlformats.org/officeDocument/2006/relationships/hyperlink" Target="https://www.youtube.com/watch?v=h2c_yY7odS8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youtube.com/watch?v=h2c_yY7odS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h2c_yY7odS8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10" Type="http://schemas.openxmlformats.org/officeDocument/2006/relationships/font" Target="fonts/CenturyGothic-boldItalic.ttf"/><Relationship Id="rId9" Type="http://schemas.openxmlformats.org/officeDocument/2006/relationships/font" Target="fonts/CenturyGothic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enturyGothic-regular.ttf"/><Relationship Id="rId8" Type="http://schemas.openxmlformats.org/officeDocument/2006/relationships/font" Target="fonts/CenturyGothic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2K0PJjooKZzMqRG0yqtsWF7zIQ==">CgMxLjA4AHIhMTVSTVRRVDQzcl9xcFd3Ny1PdHdFV3hKLU96NGFubElz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2024-09-29T20:41:00Z</dcterms:created>
  <dc:creator>ASTRID SUAREZ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2023-05-24T20:20:06Z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3f4ab385-3a60-4b88-ac6c-392f30fcd39e</vt:lpwstr>
  </property>
  <property fmtid="{D5CDD505-2E9C-101B-9397-08002B2CF9AE}" pid="8" name="MSIP_Label_1299739c-ad3d-4908-806e-4d91151a6e13_ContentBits">
    <vt:lpwstr>0</vt:lpwstr>
  </property>
</Properties>
</file>