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40" w:lineRule="auto"/>
        <w:jc w:val="center"/>
        <w:rPr>
          <w:b w:val="1"/>
          <w:sz w:val="68"/>
          <w:szCs w:val="68"/>
        </w:rPr>
      </w:pPr>
      <w:bookmarkStart w:colFirst="0" w:colLast="0" w:name="_5mwr8i7rahc3" w:id="0"/>
      <w:bookmarkEnd w:id="0"/>
      <w:r w:rsidDel="00000000" w:rsidR="00000000" w:rsidRPr="00000000">
        <w:rPr>
          <w:b w:val="1"/>
          <w:sz w:val="68"/>
          <w:szCs w:val="68"/>
          <w:rtl w:val="0"/>
        </w:rPr>
        <w:t xml:space="preserve">Funciones de Agregación / Agregadas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40" w:lineRule="auto"/>
        <w:jc w:val="center"/>
        <w:rPr>
          <w:b w:val="1"/>
          <w:sz w:val="42"/>
          <w:szCs w:val="42"/>
        </w:rPr>
      </w:pPr>
      <w:bookmarkStart w:colFirst="0" w:colLast="0" w:name="_bbvur1ohfte8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(Aggregate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32" w:lineRule="auto"/>
        <w:jc w:val="both"/>
        <w:rPr>
          <w:i w:val="1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Funciones SQL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(Por tanto obviamente tienen </w:t>
      </w:r>
      <w:r w:rsidDel="00000000" w:rsidR="00000000" w:rsidRPr="00000000">
        <w:rPr>
          <w:i w:val="1"/>
          <w:color w:val="333333"/>
          <w:sz w:val="20"/>
          <w:szCs w:val="20"/>
          <w:highlight w:val="yellow"/>
          <w:rtl w:val="0"/>
        </w:rPr>
        <w:t xml:space="preserve">parámetros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32" w:lineRule="auto"/>
        <w:jc w:val="both"/>
        <w:rPr>
          <w:color w:val="333333"/>
          <w:sz w:val="20"/>
          <w:szCs w:val="20"/>
          <w:highlight w:val="yellow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Nos permiten </w:t>
      </w:r>
      <w:r w:rsidDel="00000000" w:rsidR="00000000" w:rsidRPr="00000000">
        <w:rPr>
          <w:color w:val="333333"/>
          <w:sz w:val="20"/>
          <w:szCs w:val="20"/>
          <w:highlight w:val="cyan"/>
          <w:rtl w:val="0"/>
        </w:rPr>
        <w:t xml:space="preserve">efectuar operacione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 sobre un </w:t>
      </w:r>
      <w:r w:rsidDel="00000000" w:rsidR="00000000" w:rsidRPr="00000000">
        <w:rPr>
          <w:color w:val="333333"/>
          <w:sz w:val="20"/>
          <w:szCs w:val="20"/>
          <w:highlight w:val="yellow"/>
          <w:rtl w:val="0"/>
        </w:rPr>
        <w:t xml:space="preserve">conjunto de campos.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32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Devuelven </w:t>
      </w:r>
      <w:r w:rsidDel="00000000" w:rsidR="00000000" w:rsidRPr="00000000">
        <w:rPr>
          <w:color w:val="333333"/>
          <w:sz w:val="20"/>
          <w:szCs w:val="20"/>
          <w:shd w:fill="d5a6bd" w:val="clear"/>
          <w:rtl w:val="0"/>
        </w:rPr>
        <w:t xml:space="preserve">un único valor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agregado para todos ellos.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32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Las funciones de agregación </w:t>
      </w:r>
      <w:r w:rsidDel="00000000" w:rsidR="00000000" w:rsidRPr="00000000">
        <w:rPr>
          <w:color w:val="333333"/>
          <w:sz w:val="20"/>
          <w:szCs w:val="20"/>
          <w:highlight w:val="cyan"/>
          <w:rtl w:val="0"/>
        </w:rPr>
        <w:t xml:space="preserve">básicas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que soportan todos los</w:t>
      </w:r>
      <w:r w:rsidDel="00000000" w:rsidR="00000000" w:rsidRPr="00000000">
        <w:rPr>
          <w:color w:val="333333"/>
          <w:sz w:val="20"/>
          <w:szCs w:val="20"/>
          <w:highlight w:val="green"/>
          <w:rtl w:val="0"/>
        </w:rPr>
        <w:t xml:space="preserve"> gestores de datos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son las siguientes: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="360" w:lineRule="auto"/>
        <w:ind w:left="1440" w:right="560" w:hanging="36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COUNT (param)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Retorna el número total de filas seleccionadas por la consulta. Cuenta cuántas filas (o valores no nulos) hay.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560" w:hanging="36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MIN (param)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Devuelve el valor mínimo del campo/columna que especifiquemos.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560" w:hanging="36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MAX (param)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Regresa el valor máximo del campo/columna que especifiquemos.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560" w:hanging="36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SUM (param)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Suma los valores del campo que especifiquemos. Sólo se puede utilizar en columnas numéricas. Es decir, suma todos los valores de una columna numérica.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="360" w:lineRule="auto"/>
        <w:ind w:left="1440" w:right="560" w:hanging="36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AVG (param)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Devuelve el valor promedio del campo que especifiquemos. Sólo se puede utilizar en columnas numéricas. Es decir, calcula el promedio de los valores de una columna numérica.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right="5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Estas funciones se aplican a una sola columna o  campo, que especificaremos entre paréntesis (parámetro).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right="5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 La función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que se puede aplicar a una columna o indicar un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*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right="5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La diferencia entre establecer como parámetro el nombre de una columna/campo o usar  un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es que en el primer caso no cuenta los valores nulos para dicha columna, y en el segundo si.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right="5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Ejemplo: </w:t>
      </w:r>
    </w:p>
    <w:tbl>
      <w:tblPr>
        <w:tblStyle w:val="Table1"/>
        <w:tblW w:w="11835.0" w:type="dxa"/>
        <w:jc w:val="left"/>
        <w:tblInd w:w="2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12" w:val="single"/>
              <w:bottom w:color="000000" w:space="0" w:sz="8" w:val="dashed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700" w:before="440" w:line="240" w:lineRule="auto"/>
              <w:ind w:left="720" w:right="560" w:firstLine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count(*)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tabla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38"/>
                <w:szCs w:val="38"/>
                <w:rtl w:val="0"/>
              </w:rPr>
              <w:t xml:space="preserve">  →    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tiene en cuenta los valores nulos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700" w:before="440" w:line="240" w:lineRule="auto"/>
              <w:ind w:left="720" w:right="560" w:firstLine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count(campo)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tabla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38"/>
                <w:szCs w:val="38"/>
                <w:rtl w:val="0"/>
              </w:rPr>
              <w:t xml:space="preserve">  → 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yellow"/>
                <w:rtl w:val="0"/>
              </w:rPr>
              <w:t xml:space="preserve">NO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tiene en cuenta los valores nulos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257175</wp:posOffset>
            </wp:positionV>
            <wp:extent cx="7523927" cy="181646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070" l="4498" r="18769" t="31818"/>
                    <a:stretch>
                      <a:fillRect/>
                    </a:stretch>
                  </pic:blipFill>
                  <pic:spPr>
                    <a:xfrm>
                      <a:off x="0" y="0"/>
                      <a:ext cx="7523927" cy="181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left="720" w:right="56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left="720" w:right="56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left="720" w:right="56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right="560" w:firstLine="0"/>
        <w:rPr>
          <w:color w:val="333333"/>
          <w:sz w:val="46"/>
          <w:szCs w:val="46"/>
        </w:rPr>
      </w:pPr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OJO</w:t>
      </w:r>
      <w:r w:rsidDel="00000000" w:rsidR="00000000" w:rsidRPr="00000000">
        <w:rPr>
          <w:color w:val="333333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right="5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9665063" cy="8894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333" l="3488" r="2990" t="17333"/>
                    <a:stretch>
                      <a:fillRect/>
                    </a:stretch>
                  </pic:blipFill>
                  <pic:spPr>
                    <a:xfrm>
                      <a:off x="0" y="0"/>
                      <a:ext cx="9665063" cy="88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left="720" w:right="56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Por ejemplo, veamos la lista de mysql (Aggregate Functions):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https://dev.mysql.com/doc/refman/9.3/en/aggregate-functions-and-modifiers.html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440" w:line="240" w:lineRule="auto"/>
        <w:ind w:left="720" w:right="56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7855313" cy="6353199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5313" cy="63531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Recuerde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Tenga en cuenta que para devolver el valor mínimo o el valor máximo de un conjunto de valores contenidos en un campo especificado en una consulta.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Sintaxis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Min(campo)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“Alias”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tabla;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1155cc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Max(campo) 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“Alias”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tabla;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dev.mysql.com/doc/refman/9.3/en/aggregate-functions-and-modif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