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150463" cy="3092092"/>
            <wp:effectExtent b="12700" l="12700" r="12700" t="1270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0463" cy="30920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22222"/>
          <w:sz w:val="120"/>
          <w:szCs w:val="120"/>
          <w:highlight w:val="white"/>
        </w:rPr>
      </w:pPr>
      <w:r w:rsidDel="00000000" w:rsidR="00000000" w:rsidRPr="00000000">
        <w:rPr>
          <w:b w:val="1"/>
          <w:color w:val="222222"/>
          <w:sz w:val="120"/>
          <w:szCs w:val="120"/>
          <w:highlight w:val="white"/>
          <w:rtl w:val="0"/>
        </w:rPr>
        <w:t xml:space="preserve">Evidencia 7.1 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Base de datos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Sakila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i w:val="1"/>
          <w:sz w:val="46"/>
          <w:szCs w:val="46"/>
        </w:rPr>
        <w:drawing>
          <wp:inline distB="114300" distT="114300" distL="114300" distR="114300">
            <wp:extent cx="1511041" cy="151104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041" cy="1511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tl w:val="0"/>
        </w:rPr>
        <w:t xml:space="preserve">Distintas formas de JOINS entre tablas en </w:t>
      </w: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2"/>
        </w:numPr>
        <w:shd w:fill="ffffff" w:val="clear"/>
        <w:spacing w:before="0" w:line="335.99999999999994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Modelo relacional </w:t>
      </w:r>
      <w:r w:rsidDel="00000000" w:rsidR="00000000" w:rsidRPr="00000000">
        <w:rPr>
          <w:rtl w:val="0"/>
        </w:rPr>
        <w:t xml:space="preserve">de la base de datos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Diccionario de datos con </w:t>
      </w:r>
      <w:r w:rsidDel="00000000" w:rsidR="00000000" w:rsidRPr="00000000">
        <w:rPr>
          <w:highlight w:val="yellow"/>
          <w:rtl w:val="0"/>
        </w:rPr>
        <w:t xml:space="preserve">campos documentados</w:t>
      </w:r>
      <w:r w:rsidDel="00000000" w:rsidR="00000000" w:rsidRPr="00000000">
        <w:rPr>
          <w:rtl w:val="0"/>
        </w:rPr>
        <w:t xml:space="preserve"> (Generado)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b w:val="1"/>
          <w:color w:val="ff0000"/>
          <w:rtl w:val="0"/>
        </w:rPr>
        <w:t xml:space="preserve">.sql</w:t>
      </w:r>
      <w:r w:rsidDel="00000000" w:rsidR="00000000" w:rsidRPr="00000000">
        <w:rPr>
          <w:rtl w:val="0"/>
        </w:rPr>
        <w:t xml:space="preserve"> (DDL)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Tabla consultas: Capturas de pantalla de resultados de cada consulta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Actividad: 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31563" cy="78735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563" cy="78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05"/>
        <w:tblGridChange w:id="0">
          <w:tblGrid>
            <w:gridCol w:w="10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8" w:val="dashed"/>
              <w:bottom w:color="000000" w:space="0" w:sz="18" w:val="single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001d35"/>
                <w:highlight w:val="white"/>
              </w:rPr>
            </w:pPr>
            <w:r w:rsidDel="00000000" w:rsidR="00000000" w:rsidRPr="00000000">
              <w:rPr>
                <w:color w:val="001d35"/>
                <w:highlight w:val="white"/>
                <w:rtl w:val="0"/>
              </w:rPr>
              <w:t xml:space="preserve">Esta base de datos supone una tienda de alquiler de películas que puede tener sucursales y vendedores.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001d3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1d35"/>
                <w:highlight w:val="white"/>
                <w:rtl w:val="0"/>
              </w:rPr>
              <w:t xml:space="preserve">Es una base de datos de código abierto creada originalmente por MySQL y distribuida bajo la licencia BSD. Su esquema permite modelar conceptos como películas, actores, relaciones entre películas y actores, y una tabla de inventario central que conecta películas, tiendas y alquileres.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Familiarizarse con la base de datos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Entregar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capturas de pantalla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cada ítem y el texto de la consulta.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35.99999999999994" w:lineRule="auto"/>
        <w:ind w:left="1440" w:hanging="360"/>
        <w:rPr>
          <w:color w:val="434343"/>
          <w:sz w:val="28"/>
          <w:szCs w:val="28"/>
        </w:rPr>
      </w:pPr>
      <w:bookmarkStart w:colFirst="0" w:colLast="0" w:name="_gn97989pmn1j" w:id="0"/>
      <w:bookmarkEnd w:id="0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Imprima la lista de las tablas.existentes en la base de datos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35.99999999999994" w:lineRule="auto"/>
        <w:ind w:left="1440" w:hanging="360"/>
        <w:rPr>
          <w:i w:val="1"/>
          <w:color w:val="434343"/>
          <w:sz w:val="28"/>
          <w:szCs w:val="28"/>
        </w:rPr>
      </w:pPr>
      <w:bookmarkStart w:colFirst="0" w:colLast="0" w:name="_x3o3kkpo4sdk" w:id="1"/>
      <w:bookmarkEnd w:id="1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Describa la estructura de TODAS las tablas.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35.99999999999994" w:lineRule="auto"/>
        <w:ind w:left="1440" w:hanging="360"/>
        <w:rPr>
          <w:i w:val="1"/>
          <w:color w:val="434343"/>
          <w:sz w:val="28"/>
          <w:szCs w:val="28"/>
        </w:rPr>
      </w:pPr>
      <w:bookmarkStart w:colFirst="0" w:colLast="0" w:name="_jyjhg39thpze" w:id="2"/>
      <w:bookmarkEnd w:id="2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Imprima los datos almacenados en TODAS las tablas.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35.99999999999994" w:lineRule="auto"/>
        <w:ind w:left="1440" w:hanging="360"/>
        <w:rPr>
          <w:color w:val="434343"/>
          <w:sz w:val="28"/>
          <w:szCs w:val="28"/>
        </w:rPr>
      </w:pPr>
      <w:bookmarkStart w:colFirst="0" w:colLast="0" w:name="_x75gx9p7v9nq" w:id="3"/>
      <w:bookmarkEnd w:id="3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Genere, analice y explique el modelo de datos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0" w:line="335.99999999999994" w:lineRule="auto"/>
        <w:ind w:left="1440" w:hanging="360"/>
        <w:rPr>
          <w:color w:val="434343"/>
          <w:sz w:val="28"/>
          <w:szCs w:val="28"/>
        </w:rPr>
      </w:pPr>
      <w:bookmarkStart w:colFirst="0" w:colLast="0" w:name="_87ebazjvryb5" w:id="4"/>
      <w:bookmarkEnd w:id="4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Genere su diccionario de datos documentado.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0" w:line="335.99999999999994" w:lineRule="auto"/>
        <w:ind w:left="1440" w:firstLine="0"/>
        <w:rPr>
          <w:b w:val="1"/>
        </w:rPr>
      </w:pPr>
      <w:bookmarkStart w:colFirst="0" w:colLast="0" w:name="_ghrhdxp5nf9t" w:id="5"/>
      <w:bookmarkEnd w:id="5"/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8563" cy="25429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63" cy="254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Tenga en cuenta: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523875</wp:posOffset>
            </wp:positionV>
            <wp:extent cx="7613288" cy="1799234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3288" cy="1799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0" w:line="335.99999999999994" w:lineRule="auto"/>
        <w:ind w:left="1440" w:hanging="360"/>
        <w:rPr>
          <w:i w:val="1"/>
          <w:color w:val="434343"/>
          <w:sz w:val="28"/>
          <w:szCs w:val="28"/>
        </w:rPr>
      </w:pPr>
      <w:bookmarkStart w:colFirst="0" w:colLast="0" w:name="_vvq3ogf7aovd" w:id="6"/>
      <w:bookmarkEnd w:id="6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Recuerde: Ingeniería inversa (Organizar Modelo).</w:t>
      </w:r>
    </w:p>
    <w:p w:rsidR="00000000" w:rsidDel="00000000" w:rsidP="00000000" w:rsidRDefault="00000000" w:rsidRPr="00000000" w14:paraId="00000024">
      <w:pPr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“La ingeniería inversa o retroingeniería es el proceso llevado a cabo con el objetivo de obtener información o un diseño a partir de un producto, con el fin de determinar cuáles son sus componentes y de qué manera interactúan entre sí y cuál fue el proceso de fabricación.”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393083" cy="2940275"/>
            <wp:effectExtent b="12700" l="12700" r="12700" t="127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083" cy="2940275"/>
                    </a:xfrm>
                    <a:prstGeom prst="rect"/>
                    <a:ln w="12700">
                      <a:solidFill>
                        <a:srgbClr val="2B89C2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a la base de datos: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Luego de realizar la consulta de la </w:t>
      </w:r>
      <w:r w:rsidDel="00000000" w:rsidR="00000000" w:rsidRPr="00000000">
        <w:rPr>
          <w:b w:val="1"/>
          <w:i w:val="1"/>
          <w:rtl w:val="0"/>
        </w:rPr>
        <w:t xml:space="preserve">evidencia No. 6.1 (</w:t>
      </w:r>
      <w:hyperlink r:id="rId12">
        <w:r w:rsidDel="00000000" w:rsidR="00000000" w:rsidRPr="00000000">
          <w:rPr>
            <w:b w:val="1"/>
            <w:i w:val="1"/>
            <w:color w:val="0000ee"/>
            <w:u w:val="single"/>
            <w:rtl w:val="0"/>
          </w:rPr>
          <w:t xml:space="preserve">Evidencia 6.1 - Conferencias JOINS_Subconsultas</w:t>
        </w:r>
      </w:hyperlink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cada aprendiz desarrollará dos consultas </w:t>
      </w:r>
      <w:r w:rsidDel="00000000" w:rsidR="00000000" w:rsidRPr="00000000">
        <w:rPr>
          <w:rtl w:val="0"/>
        </w:rPr>
        <w:t xml:space="preserve">que implementen JOINS.</w:t>
      </w:r>
      <w:r w:rsidDel="00000000" w:rsidR="00000000" w:rsidRPr="00000000">
        <w:rPr>
          <w:rtl w:val="0"/>
        </w:rPr>
      </w:r>
    </w:p>
    <w:tbl>
      <w:tblPr>
        <w:tblStyle w:val="Table2"/>
        <w:tblW w:w="1099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4770"/>
        <w:gridCol w:w="5835"/>
        <w:tblGridChange w:id="0">
          <w:tblGrid>
            <w:gridCol w:w="390"/>
            <w:gridCol w:w="4770"/>
            <w:gridCol w:w="5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b w:val="1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b w:val="1"/>
                <w:sz w:val="30"/>
                <w:szCs w:val="30"/>
                <w:highlight w:val="white"/>
                <w:rtl w:val="0"/>
              </w:rPr>
              <w:t xml:space="preserve">Enunciado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b w:val="1"/>
                <w:sz w:val="30"/>
                <w:szCs w:val="30"/>
                <w:highlight w:val="white"/>
                <w:rtl w:val="0"/>
              </w:rPr>
              <w:t xml:space="preserve">Query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MySQL INNER JOIN, Self Join y Operador UNION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 MySQL LEFT JOIN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MySQL RIGHT JOIN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MySQL CROSS JOIN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Subconsultas: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a. En cláusula SELECT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 Subconsultas: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b. En cláusula 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 Subconsultas: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fe2f3" w:val="clear"/>
                <w:rtl w:val="0"/>
              </w:rPr>
              <w:t xml:space="preserve">c. En cláusula 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Select …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highlight w:val="white"/>
                <w:rtl w:val="0"/>
              </w:rPr>
              <w:t xml:space="preserve">Captura de pantalla: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Actividad en clase: Consultas a la base de datos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(Miércoles, Junio 18 de 2025)</w:t>
      </w:r>
    </w:p>
    <w:p w:rsidR="00000000" w:rsidDel="00000000" w:rsidP="00000000" w:rsidRDefault="00000000" w:rsidRPr="00000000" w14:paraId="000000A2">
      <w:pPr>
        <w:spacing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275"/>
        <w:gridCol w:w="3825"/>
        <w:tblGridChange w:id="0">
          <w:tblGrid>
            <w:gridCol w:w="465"/>
            <w:gridCol w:w="727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Enunciado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b w:val="1"/>
                <w:sz w:val="40"/>
                <w:szCs w:val="40"/>
                <w:highlight w:val="white"/>
                <w:rtl w:val="0"/>
              </w:rPr>
              <w:t xml:space="preserve">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Imprima las tablas existentes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¿Cuántas ciudades hay registradas en la base de datos?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¿Cuántos países se encuentran registrados?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 la lista de los clientes de la empresa (nombres y datos de contacto).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¿Cuál es el total acumulado de todos los pagos realizados en la empresa?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71550" cy="43815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Concat -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¿Cuál es el importe de pago más alto?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¿Cuál es el promedio de los importes de pago?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¿Cuáles son las películas que alquilan entre 3 y 5 días? 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*Between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903913" cy="1320732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917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913" cy="1320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¿Cuántas películas clasificadas solo para adultos tienen para alquilar?  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SELECT rating as clasificación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FROM film;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 la lista de películas clasificadas solo para adultos que están disponibles para alquilar.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¿Cuánto cuesta en promedio alquilar una película para público infantil? 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formato de moneda ($) y redondeado a 2 decimales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Concat - Format - ROUND(número , cantDecimales) 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Ejemplo: select round(12.89765,3);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https://www.w3schools.com/sql/func_mysql_round.asp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 la lista de películas que tienen detrás de cámaras. 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en cuenta: 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416788" cy="1644293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788" cy="16442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Like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</w:t>
            </w: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highlight w:val="white"/>
                  <w:u w:val="single"/>
                  <w:rtl w:val="0"/>
                </w:rPr>
                <w:t xml:space="preserve">FIND_IN_SET(</w:t>
              </w:r>
            </w:hyperlink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i w:val="1"/>
                  <w:color w:val="188038"/>
                  <w:sz w:val="19"/>
                  <w:szCs w:val="19"/>
                  <w:highlight w:val="white"/>
                  <w:u w:val="single"/>
                  <w:rtl w:val="0"/>
                </w:rPr>
                <w:t xml:space="preserve">str</w:t>
              </w:r>
            </w:hyperlink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highlight w:val="white"/>
                  <w:u w:val="single"/>
                  <w:rtl w:val="0"/>
                </w:rPr>
                <w:t xml:space="preserve">,</w:t>
              </w:r>
            </w:hyperlink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i w:val="1"/>
                  <w:color w:val="188038"/>
                  <w:sz w:val="19"/>
                  <w:szCs w:val="19"/>
                  <w:highlight w:val="white"/>
                  <w:u w:val="single"/>
                  <w:rtl w:val="0"/>
                </w:rPr>
                <w:t xml:space="preserve">strlist</w:t>
              </w:r>
            </w:hyperlink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sz w:val="20"/>
                  <w:szCs w:val="20"/>
                  <w:highlight w:val="white"/>
                  <w:u w:val="single"/>
                  <w:rtl w:val="0"/>
                </w:rPr>
                <w:t xml:space="preserve">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https://dev.mysql.com/doc/refman/8.4/en/string-functions.html#function_find-in-set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https://www.w3schools.com/sql/func_mysql_find_in_set.asp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¿Cuántas películas tienen la característica de que le borraron escenas? 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 la lista de las películas con escenas eliminadas. 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FIND_IN_SET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Imprima nombre de las películas solo si èstas empiezan por la letra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Liste las películas cuyos nombres terminan con vocal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Imprima los nombres de las ciudades que contengan la letra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"r"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cualquier posición.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Imprima los nombres de las ciudades que tengan la vocal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"o"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segunda posición.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 Imprima el nombre de las ciudades que empiecen por la letra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“p”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tengan seis letras únicamente.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f. Liste las ciudades cuyos nombres empiezan con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"a"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tengan al menos 3 caracteres de longitud total. 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 Encuentre las ciudades cuyos nombres empiezan con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terminan con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"a".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 el listado que muestra la cantidad total de clientes registrados en cada ciudad, agrupando los datos para facilitar el análisis por ubicación geográfica.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Texto de la consulta: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Select …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  <w:rtl w:val="0"/>
              </w:rPr>
              <w:t xml:space="preserve">Captura de pantalla: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ind w:left="720" w:firstLine="0"/>
              <w:rPr>
                <w:b w:val="1"/>
                <w:i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Actividad en clase: Consultas a la base de datos</w:t>
            </w:r>
            <w:r w:rsidDel="00000000" w:rsidR="00000000" w:rsidRPr="00000000">
              <w:rPr>
                <w:b w:val="1"/>
                <w:i w:val="1"/>
                <w:highlight w:val="yellow"/>
                <w:rtl w:val="0"/>
              </w:rPr>
              <w:t xml:space="preserve"> (Jueves, Junio 19 de 2025) - </w:t>
            </w:r>
            <w:r w:rsidDel="00000000" w:rsidR="00000000" w:rsidRPr="00000000">
              <w:rPr>
                <w:b w:val="1"/>
                <w:i w:val="1"/>
                <w:highlight w:val="yellow"/>
                <w:u w:val="single"/>
                <w:rtl w:val="0"/>
              </w:rPr>
              <w:t xml:space="preserve">Día del aprendiz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todas las películas cuyos títulos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contienen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 palabra "action":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todas las películas cuyos títulos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 contienen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palabra "action":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Imprimir el cálculo del monto total de pagos realizados por cada cliente, considerando todas las transacciones efectuadas, para obtener una visión global del comportamiento de pago individual.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Agrupado por id (Tabla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Agrupado por id y mostrando el nombre completo del cliente.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(Tablas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payment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 cada categoría de películas y cuántas películas tiene, ordenadas desde la categoría con más películas hasta la que tiene menos.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162175" cy="1190625"/>
                  <wp:effectExtent b="12700" l="12700" r="12700" t="1270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19062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ot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Subconsultas (subqueries) dentro de un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Imprimir el total de ventas por película.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Puedes integrar una consulta en la cláusula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como columnas adicionales.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i w:val="1"/>
                <w:color w:val="ff0000"/>
                <w:highlight w:val="white"/>
              </w:rPr>
              <w:drawing>
                <wp:inline distB="114300" distT="114300" distL="114300" distR="114300">
                  <wp:extent cx="3359512" cy="1770718"/>
                  <wp:effectExtent b="12700" l="12700" r="12700" t="1270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512" cy="1770718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ot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Es una subconsulta para calcular el total de ventas por película, utilizando una subconsulta para generar el campo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Ventas_Totales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para sumar las ventas asociadas a cada película en la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tabla film.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720" w:firstLine="0"/>
              <w:rPr>
                <w:b w:val="1"/>
                <w:i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Actividad en clase: Consultas a la base de datos</w:t>
            </w:r>
            <w:r w:rsidDel="00000000" w:rsidR="00000000" w:rsidRPr="00000000">
              <w:rPr>
                <w:b w:val="1"/>
                <w:i w:val="1"/>
                <w:highlight w:val="yellow"/>
                <w:rtl w:val="0"/>
              </w:rPr>
              <w:t xml:space="preserve"> (Viernes, Junio 20 de 2025)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Subconsultas (subqueries) dentro de una cláusula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imprime la siguiente consulta?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language_id,length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film;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imprime la siguiente consulta?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language_id, AVG(length)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PromedioTiempo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film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language_id;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Subconsulta: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 el promedio de duración de películas por cada idioma usando subconsulta 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  <w:drawing>
                <wp:inline distB="114300" distT="114300" distL="114300" distR="114300">
                  <wp:extent cx="1695450" cy="17049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  <w:drawing>
                <wp:inline distB="114300" distT="114300" distL="114300" distR="114300">
                  <wp:extent cx="1790700" cy="31242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Imprima la lista de clientes con más de 5 pagos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HAVING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  <w:drawing>
                <wp:inline distB="114300" distT="114300" distL="114300" distR="114300">
                  <wp:extent cx="1743075" cy="18288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i w:val="1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</w:rPr>
        <w:drawing>
          <wp:inline distB="114300" distT="114300" distL="114300" distR="114300">
            <wp:extent cx="7143750" cy="82315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11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823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50.0" w:type="dxa"/>
        <w:jc w:val="left"/>
        <w:tblInd w:w="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0"/>
        <w:tblGridChange w:id="0">
          <w:tblGrid>
            <w:gridCol w:w="10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12" w:val="single"/>
              <w:bottom w:color="000000" w:space="0" w:sz="8" w:val="dashed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Tenga en cuenta: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Los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comodines</w:t>
            </w:r>
            <w:r w:rsidDel="00000000" w:rsidR="00000000" w:rsidRPr="00000000">
              <w:rPr>
                <w:rtl w:val="0"/>
              </w:rPr>
              <w:t xml:space="preserve"> en SQL, también son conocidos como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wildcards.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Son símbolos especiales que representan uno o más caracteres en una cadena de texto.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 usan con el operador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LIKE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ayudar a filtrar datos de manera eficaz, flexible y optimizando notablemente el rendimiento de SQL.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Operador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LIKE</w:t>
            </w:r>
            <w:r w:rsidDel="00000000" w:rsidR="00000000" w:rsidRPr="00000000">
              <w:rPr>
                <w:rtl w:val="0"/>
              </w:rPr>
              <w:t xml:space="preserve">: establece patrones de búsqueda.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46700" cy="898066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700" cy="8980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c/refman/8.4/en/string-functions.html#function_find-in-set" TargetMode="External"/><Relationship Id="rId22" Type="http://schemas.openxmlformats.org/officeDocument/2006/relationships/hyperlink" Target="https://dev.mysql.com/doc/refman/8.4/en/string-functions.html#function_find-in-set" TargetMode="External"/><Relationship Id="rId21" Type="http://schemas.openxmlformats.org/officeDocument/2006/relationships/hyperlink" Target="https://dev.mysql.com/doc/refman/8.4/en/string-functions.html#function_find-in-set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s://www.w3schools.com/sql/func_mysql_find_in_se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5.png"/><Relationship Id="rId25" Type="http://schemas.openxmlformats.org/officeDocument/2006/relationships/image" Target="media/image12.png"/><Relationship Id="rId28" Type="http://schemas.openxmlformats.org/officeDocument/2006/relationships/image" Target="media/image9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30" Type="http://schemas.openxmlformats.org/officeDocument/2006/relationships/image" Target="media/image13.png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hyperlink" Target="https://docs.google.com/document/d/1LaaMoU8hD2_zOqRKV55f0O_TmfNgjqMKUchjVVrvhgg/edit?usp=sharing" TargetMode="External"/><Relationship Id="rId15" Type="http://schemas.openxmlformats.org/officeDocument/2006/relationships/hyperlink" Target="https://www.w3schools.com/sql/func_mysql_round.asp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dev.mysql.com/doc/refman/8.4/en/string-functions.html#function_find-in-set" TargetMode="External"/><Relationship Id="rId16" Type="http://schemas.openxmlformats.org/officeDocument/2006/relationships/image" Target="media/image14.png"/><Relationship Id="rId19" Type="http://schemas.openxmlformats.org/officeDocument/2006/relationships/hyperlink" Target="https://dev.mysql.com/doc/refman/8.4/en/string-functions.html#function_find-in-set" TargetMode="External"/><Relationship Id="rId18" Type="http://schemas.openxmlformats.org/officeDocument/2006/relationships/hyperlink" Target="https://dev.mysql.com/doc/refman/8.4/en/string-functions.html#function_find-in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