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Parallel Computer Architecture and Programming</w:t>
      </w:r>
    </w:p>
    <w:p>
      <w:pPr>
        <w:spacing w:after="260"/>
        <w:jc w:val="center"/>
      </w:pPr>
      <w:r>
        <w:rPr>
          <w:rFonts w:ascii="Times New Roman" w:cs="Times New Roman" w:eastAsia="Times New Roman" w:hAnsi="Times New Roman"/>
          <w:b/>
          <w:bCs/>
          <w:sz w:val="24"/>
          <w:szCs w:val="24"/>
        </w:rPr>
        <w:t xml:space="preserve">Mini-Project Problem Statement</w:t>
      </w:r>
    </w:p>
    <w:p>
      <w:pPr>
        <w:pStyle w:val="Heading1"/>
        <w:spacing w:after="140" w:before="260"/>
      </w:pPr>
      <w:r>
        <w:rPr>
          <w:rFonts w:ascii="Times New Roman" w:cs="Times New Roman" w:eastAsia="Times New Roman" w:hAnsi="Times New Roman"/>
          <w:b/>
          <w:bCs/>
          <w:color w:val="000000"/>
          <w:sz w:val="26"/>
          <w:szCs w:val="26"/>
        </w:rPr>
        <w:t xml:space="preserve">Title</w:t>
      </w:r>
    </w:p>
    <w:p>
      <w:pPr>
        <w:spacing w:after="200" w:line="300"/>
        <w:jc w:val="center"/>
      </w:pPr>
      <w:r>
        <w:rPr>
          <w:rFonts w:ascii="Times New Roman" w:cs="Times New Roman" w:eastAsia="Times New Roman" w:hAnsi="Times New Roman"/>
          <w:b/>
          <w:bCs/>
          <w:sz w:val="26"/>
          <w:szCs w:val="26"/>
        </w:rPr>
        <w:t xml:space="preserve">GPU-Accelerated Exact Vector Similarity Search: A Fused Distance–Selection Kernel and Multi-GPU Sharding for Large-Scale Embedding Retrieval</w:t>
      </w:r>
    </w:p>
    <w:p>
      <w:pPr>
        <w:pStyle w:val="Heading1"/>
        <w:spacing w:after="140" w:before="260"/>
      </w:pPr>
      <w:r>
        <w:rPr>
          <w:rFonts w:ascii="Times New Roman" w:cs="Times New Roman" w:eastAsia="Times New Roman" w:hAnsi="Times New Roman"/>
          <w:b/>
          <w:bCs/>
          <w:color w:val="000000"/>
          <w:sz w:val="26"/>
          <w:szCs w:val="26"/>
        </w:rPr>
        <w:t xml:space="preserve">Team Members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2900"/>
      </w:tblGrid>
      <w:tr>
        <w:trPr>
          <w:tblHeader/>
        </w:trPr>
        <w:tc>
          <w:tcPr>
            <w:tcW w:type="dxa" w:w="700"/>
            <w:shd w:fill="E8E8E8" w:val="clear"/>
            <w:tcMar>
              <w:top w:type="dxa" w:w="60"/>
              <w:left w:type="dxa" w:w="110"/>
              <w:bottom w:type="dxa" w:w="60"/>
              <w:right w:type="dxa" w:w="110"/>
            </w:tcMar>
          </w:tcPr>
          <w:p>
            <w:pPr>
              <w:spacing w:after="0"/>
            </w:pPr>
            <w:r>
              <w:rPr>
                <w:rFonts w:ascii="Times New Roman" w:cs="Times New Roman" w:eastAsia="Times New Roman" w:hAnsi="Times New Roman"/>
                <w:b/>
                <w:bCs/>
                <w:sz w:val="22"/>
                <w:szCs w:val="22"/>
              </w:rPr>
              <w:t xml:space="preserve">S. No.</w:t>
            </w:r>
          </w:p>
        </w:tc>
        <w:tc>
          <w:tcPr>
            <w:tcW w:type="dxa" w:w="4200"/>
            <w:shd w:fill="E8E8E8" w:val="clear"/>
            <w:tcMar>
              <w:top w:type="dxa" w:w="60"/>
              <w:left w:type="dxa" w:w="110"/>
              <w:bottom w:type="dxa" w:w="60"/>
              <w:right w:type="dxa" w:w="110"/>
            </w:tcMar>
          </w:tcPr>
          <w:p>
            <w:pPr>
              <w:spacing w:after="0"/>
            </w:pPr>
            <w:r>
              <w:rPr>
                <w:rFonts w:ascii="Times New Roman" w:cs="Times New Roman" w:eastAsia="Times New Roman" w:hAnsi="Times New Roman"/>
                <w:b/>
                <w:bCs/>
                <w:sz w:val="22"/>
                <w:szCs w:val="22"/>
              </w:rPr>
              <w:t xml:space="preserve">Name</w:t>
            </w:r>
          </w:p>
        </w:tc>
        <w:tc>
          <w:tcPr>
            <w:tcW w:type="dxa" w:w="2900"/>
            <w:shd w:fill="E8E8E8" w:val="clear"/>
            <w:tcMar>
              <w:top w:type="dxa" w:w="60"/>
              <w:left w:type="dxa" w:w="110"/>
              <w:bottom w:type="dxa" w:w="60"/>
              <w:right w:type="dxa" w:w="110"/>
            </w:tcMar>
          </w:tcPr>
          <w:p>
            <w:pPr>
              <w:spacing w:after="0"/>
            </w:pPr>
            <w:r>
              <w:rPr>
                <w:rFonts w:ascii="Times New Roman" w:cs="Times New Roman" w:eastAsia="Times New Roman" w:hAnsi="Times New Roman"/>
                <w:b/>
                <w:bCs/>
                <w:sz w:val="22"/>
                <w:szCs w:val="22"/>
              </w:rPr>
              <w:t xml:space="preserve">Registration Number</w:t>
            </w:r>
          </w:p>
        </w:tc>
      </w:tr>
      <w:tr>
        <w:tc>
          <w:tcPr>
            <w:tcW w:type="dxa" w:w="7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1</w:t>
            </w:r>
          </w:p>
        </w:tc>
        <w:tc>
          <w:tcPr>
            <w:tcW w:type="dxa" w:w="42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Samarth Sukumar</w:t>
            </w:r>
          </w:p>
        </w:tc>
        <w:tc>
          <w:tcPr>
            <w:tcW w:type="dxa" w:w="29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240905454</w:t>
            </w:r>
          </w:p>
        </w:tc>
      </w:tr>
      <w:tr>
        <w:tc>
          <w:tcPr>
            <w:tcW w:type="dxa" w:w="7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2</w:t>
            </w:r>
          </w:p>
        </w:tc>
        <w:tc>
          <w:tcPr>
            <w:tcW w:type="dxa" w:w="42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Shlok Sharma</w:t>
            </w:r>
          </w:p>
        </w:tc>
        <w:tc>
          <w:tcPr>
            <w:tcW w:type="dxa" w:w="29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240905418</w:t>
            </w:r>
          </w:p>
        </w:tc>
      </w:tr>
      <w:tr>
        <w:tc>
          <w:tcPr>
            <w:tcW w:type="dxa" w:w="7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3</w:t>
            </w:r>
          </w:p>
        </w:tc>
        <w:tc>
          <w:tcPr>
            <w:tcW w:type="dxa" w:w="42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Jaii Mukundh</w:t>
            </w:r>
          </w:p>
        </w:tc>
        <w:tc>
          <w:tcPr>
            <w:tcW w:type="dxa" w:w="2900"/>
            <w:tcMar>
              <w:top w:type="dxa" w:w="60"/>
              <w:left w:type="dxa" w:w="110"/>
              <w:bottom w:type="dxa" w:w="60"/>
              <w:right w:type="dxa" w:w="110"/>
            </w:tcMar>
          </w:tcPr>
          <w:p>
            <w:pPr>
              <w:spacing w:after="0"/>
            </w:pPr>
            <w:r>
              <w:rPr>
                <w:rFonts w:ascii="Times New Roman" w:cs="Times New Roman" w:eastAsia="Times New Roman" w:hAnsi="Times New Roman"/>
                <w:b w:val="false"/>
                <w:bCs w:val="false"/>
                <w:sz w:val="22"/>
                <w:szCs w:val="22"/>
              </w:rPr>
              <w:t xml:space="preserve">240905524</w:t>
            </w:r>
          </w:p>
        </w:tc>
      </w:tr>
    </w:tbl>
    <w:p>
      <w:pPr>
        <w:spacing w:after="120"/>
      </w:pPr>
      <w:r>
        <w:rPr>
          <w:rFonts w:ascii="Times New Roman" w:cs="Times New Roman" w:eastAsia="Times New Roman" w:hAnsi="Times New Roman"/>
          <w:sz w:val="24"/>
          <w:szCs w:val="24"/>
        </w:rPr>
        <w:t xml:space="preserve"/>
      </w:r>
    </w:p>
    <w:p>
      <w:pPr>
        <w:pStyle w:val="Heading1"/>
        <w:spacing w:after="140" w:before="260"/>
      </w:pPr>
      <w:r>
        <w:rPr>
          <w:rFonts w:ascii="Times New Roman" w:cs="Times New Roman" w:eastAsia="Times New Roman" w:hAnsi="Times New Roman"/>
          <w:b/>
          <w:bCs/>
          <w:color w:val="000000"/>
          <w:sz w:val="26"/>
          <w:szCs w:val="26"/>
        </w:rPr>
        <w:t xml:space="preserve">Introduction</w:t>
      </w:r>
    </w:p>
    <w:p>
      <w:pPr>
        <w:spacing w:after="160" w:line="300"/>
        <w:jc w:val="both"/>
      </w:pPr>
      <w:r>
        <w:rPr>
          <w:rFonts w:ascii="Times New Roman" w:cs="Times New Roman" w:eastAsia="Times New Roman" w:hAnsi="Times New Roman"/>
          <w:b w:val="false"/>
          <w:bCs w:val="false"/>
          <w:i w:val="false"/>
          <w:iCs w:val="false"/>
          <w:sz w:val="24"/>
          <w:szCs w:val="24"/>
        </w:rPr>
        <w:t xml:space="preserve">Modern applications represent text, images, and user behaviour as high-dimensional embedding vectors, so that semantic similarity becomes geometric proximity. Retrieval then reduces to a single operation: given a query vector, return its k nearest neighbours from a database of millions of stored vectors. This operation underpins semantic search, recommendation engines [1], and retrieval-augmented generation, and must complete within milliseconds to remain usable. Exact brute-force search examines every stored vector, which makes it bandwidth-bound in its distance stage and bottlenecked in its selection stage, where the k smallest values must be extracted from millions of candidates. Because this cost is assumed to be prohibitive, deployed vector database systems almost universally adopt approximate indexes [2] that return only a fraction of the true neighbours, whether by navigating a proximity graph [3] or by comparing compressed codes [4]. Even GPU-based systems retain this assumption [5]. This project questions it. We implement exact k-nearest-neighbour search directly in CUDA, fusing distance computation with top-k selection so that the full distance array is never written to memory, and sharding the database across multiple GPUs using MPI. The aim is to establish when exact search is fast enough that approximation becomes unnecessary.</w:t>
      </w:r>
    </w:p>
    <w:p>
      <w:pPr>
        <w:spacing w:after="60" w:line="300"/>
        <w:jc w:val="right"/>
      </w:pPr>
      <w:r>
        <w:rPr>
          <w:rFonts w:ascii="Times New Roman" w:cs="Times New Roman" w:eastAsia="Times New Roman" w:hAnsi="Times New Roman"/>
          <w:b w:val="false"/>
          <w:bCs w:val="false"/>
          <w:i/>
          <w:iCs/>
          <w:sz w:val="24"/>
          <w:szCs w:val="24"/>
        </w:rPr>
        <w:t xml:space="preserve">(Word count: 190)</w:t>
      </w:r>
    </w:p>
    <w:p>
      <w:pPr>
        <w:pStyle w:val="Heading1"/>
        <w:spacing w:after="140" w:before="260"/>
      </w:pPr>
      <w:r>
        <w:rPr>
          <w:rFonts w:ascii="Times New Roman" w:cs="Times New Roman" w:eastAsia="Times New Roman" w:hAnsi="Times New Roman"/>
          <w:b/>
          <w:bCs/>
          <w:color w:val="000000"/>
          <w:sz w:val="26"/>
          <w:szCs w:val="26"/>
        </w:rPr>
        <w:t xml:space="preserve">Keywords</w:t>
      </w:r>
    </w:p>
    <w:p>
      <w:pPr>
        <w:spacing w:after="160" w:line="300"/>
        <w:jc w:val="both"/>
      </w:pPr>
      <w:r>
        <w:rPr>
          <w:rFonts w:ascii="Times New Roman" w:cs="Times New Roman" w:eastAsia="Times New Roman" w:hAnsi="Times New Roman"/>
          <w:b w:val="false"/>
          <w:bCs w:val="false"/>
          <w:i w:val="false"/>
          <w:iCs w:val="false"/>
          <w:sz w:val="24"/>
          <w:szCs w:val="24"/>
        </w:rPr>
        <w:t xml:space="preserve">GPU computing; CUDA; Vector similarity search; k-Nearest neighbour search; Kernel fusion; Message Passing Interface (MPI)</w:t>
      </w:r>
    </w:p>
    <w:p>
      <w:pPr>
        <w:pStyle w:val="Heading1"/>
        <w:spacing w:after="140" w:before="260"/>
      </w:pPr>
      <w:r>
        <w:rPr>
          <w:rFonts w:ascii="Times New Roman" w:cs="Times New Roman" w:eastAsia="Times New Roman" w:hAnsi="Times New Roman"/>
          <w:b/>
          <w:bCs/>
          <w:color w:val="000000"/>
          <w:sz w:val="26"/>
          <w:szCs w:val="26"/>
        </w:rPr>
        <w:t xml:space="preserve">Background and Related Work</w:t>
      </w:r>
    </w:p>
    <w:p>
      <w:pPr>
        <w:spacing w:after="160" w:line="300"/>
        <w:jc w:val="both"/>
      </w:pPr>
      <w:r>
        <w:rPr>
          <w:rFonts w:ascii="Times New Roman" w:cs="Times New Roman" w:eastAsia="Times New Roman" w:hAnsi="Times New Roman"/>
          <w:b w:val="false"/>
          <w:bCs w:val="false"/>
          <w:i w:val="false"/>
          <w:iCs w:val="false"/>
          <w:sz w:val="24"/>
          <w:szCs w:val="24"/>
        </w:rPr>
        <w:t xml:space="preserve">Because the cost of exhaustive comparison is considered unacceptable at scale, the literature on high-dimensional retrieval is dominated by approximate methods, and the recall achieved at a given latency has become the field’s standard basis for comparison [6]. Graph-based indexes construct a navigable structure over the database and traverse it greedily from an entry point [7], while quantization-based methods compress vectors into short codes so that distances can be estimated from lookup tables rather than computed directly [8]. Both families remain active: recent work has refined quantization through residual decomposition [9] and dual codebook designs [10], and has improved graph construction using hierarchical clustering [11]. Earlier systems combined randomised trees and hashing with automatic algorithm selection [12], and more recent proposals apply learned models [13] and deep hashing [14] to the same problem. What unites all of these approaches is that they accept a recall below unity in exchange for reduced work per query.</w:t>
      </w:r>
    </w:p>
    <w:p>
      <w:pPr>
        <w:spacing w:after="160" w:line="300"/>
        <w:jc w:val="both"/>
      </w:pPr>
      <w:r>
        <w:rPr>
          <w:rFonts w:ascii="Times New Roman" w:cs="Times New Roman" w:eastAsia="Times New Roman" w:hAnsi="Times New Roman"/>
          <w:b w:val="false"/>
          <w:bCs w:val="false"/>
          <w:i w:val="false"/>
          <w:iCs w:val="false"/>
          <w:sz w:val="24"/>
          <w:szCs w:val="24"/>
        </w:rPr>
        <w:t xml:space="preserve">A parallel line of work has instead sought to make search faster by exploiting the throughput of graphics processors. Library-scale systems have demonstrated similarity search over billions of vectors on multi-GPU nodes by combining quantization with carefully engineered GPU kernels [5], and graph-based indexes have been ported to the GPU with batched traversal to expose sufficient parallelism [15]. Distributed formulations have constructed k-nearest-neighbour graphs across GPU clusters [16], and hybrid schemes have partitioned the workload between CPU and GPU according to the architectural strengths of each device [17]. These results establish that the GPU is the appropriate platform for the problem, but they retain approximation as a design assumption rather than testing whether it remains necessary.</w:t>
      </w:r>
    </w:p>
    <w:p>
      <w:pPr>
        <w:spacing w:after="160" w:line="300"/>
        <w:jc w:val="both"/>
      </w:pPr>
      <w:r>
        <w:rPr>
          <w:rFonts w:ascii="Times New Roman" w:cs="Times New Roman" w:eastAsia="Times New Roman" w:hAnsi="Times New Roman"/>
          <w:b w:val="false"/>
          <w:bCs w:val="false"/>
          <w:i w:val="false"/>
          <w:iCs w:val="false"/>
          <w:sz w:val="24"/>
          <w:szCs w:val="24"/>
        </w:rPr>
        <w:t xml:space="preserve">The design proposed here draws on established techniques for extracting performance from GPU hardware. Memory coalescing, shared-memory tiling, and occupancy management are the standard levers for bandwidth-bound kernels [18], and fusing successive kernels to avoid materialising intermediate arrays in global memory has been shown to yield substantial gains where an intermediate result is large relative to the final output [19]. The selection stage of our pipeline builds on prior algorithms for extracting the k smallest elements of a large array on the GPU, where the difficulty lies in performing the reduction without an expensive global sort [20].</w:t>
      </w:r>
    </w:p>
    <w:p>
      <w:pPr>
        <w:spacing w:after="160" w:line="300"/>
        <w:jc w:val="both"/>
      </w:pPr>
      <w:r>
        <w:rPr>
          <w:rFonts w:ascii="Times New Roman" w:cs="Times New Roman" w:eastAsia="Times New Roman" w:hAnsi="Times New Roman"/>
          <w:b w:val="false"/>
          <w:bCs w:val="false"/>
          <w:i w:val="false"/>
          <w:iCs w:val="false"/>
          <w:sz w:val="24"/>
          <w:szCs w:val="24"/>
        </w:rPr>
        <w:t xml:space="preserve">Scaling beyond a single accelerator introduces its own concerns. Studies of multi-GPU execution have characterised the cost of data movement between devices and the effect of memory-management strategy on achieved scaling [21], [22], and hybrid programming models that combine OpenMP for host-side work with CUDA for device kernels have been examined for scientific workloads [23]. Our sharding scheme is deliberately structured so that only the k local results per rank are communicated, which keeps the communication volume small relative to the computation and makes near-linear scaling a realistic target.</w:t>
      </w:r>
    </w:p>
    <w:p>
      <w:pPr>
        <w:pStyle w:val="Heading1"/>
        <w:spacing w:after="140" w:before="260"/>
      </w:pPr>
      <w:r>
        <w:rPr>
          <w:rFonts w:ascii="Times New Roman" w:cs="Times New Roman" w:eastAsia="Times New Roman" w:hAnsi="Times New Roman"/>
          <w:b/>
          <w:bCs/>
          <w:color w:val="000000"/>
          <w:sz w:val="26"/>
          <w:szCs w:val="26"/>
        </w:rPr>
        <w:t xml:space="preserve">Objectives</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1.  To design and implement an exact k-nearest-neighbour search engine in CUDA in which distance computation and top-k selection are fused into a single kernel, so that the N-element distance array is never written to global memory; and to quantify the resulting reduction in memory traffic against a conventional two-pass implementation.</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2.  To extend the engine to multiple GPUs by sharding the database across MPI ranks with a local-top-k-then-merge scheme, and to characterise its strong and weak scaling behaviour together with the fraction of total latency consumed by the merge step.</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3.  To determine, through a systematic evaluation against serial and multicore CPU baselines and against established approximate indexes, the region of the database-size, dimensionality, and batch-size parameter space in which exact GPU search meets a fixed latency budget, thereby identifying when approximation is unnecessary.</w:t>
      </w:r>
    </w:p>
    <w:p>
      <w:pPr>
        <w:pStyle w:val="Heading1"/>
        <w:spacing w:after="140" w:before="260"/>
      </w:pPr>
      <w:r>
        <w:rPr>
          <w:rFonts w:ascii="Times New Roman" w:cs="Times New Roman" w:eastAsia="Times New Roman" w:hAnsi="Times New Roman"/>
          <w:b/>
          <w:bCs/>
          <w:color w:val="000000"/>
          <w:sz w:val="26"/>
          <w:szCs w:val="26"/>
        </w:rPr>
        <w:t xml:space="preserve">Data Source</w:t>
      </w:r>
    </w:p>
    <w:p>
      <w:pPr>
        <w:spacing w:after="160" w:line="300"/>
        <w:jc w:val="both"/>
      </w:pPr>
      <w:r>
        <w:rPr>
          <w:rFonts w:ascii="Times New Roman" w:cs="Times New Roman" w:eastAsia="Times New Roman" w:hAnsi="Times New Roman"/>
          <w:b w:val="false"/>
          <w:bCs w:val="false"/>
          <w:i w:val="false"/>
          <w:iCs w:val="false"/>
          <w:sz w:val="24"/>
          <w:szCs w:val="24"/>
        </w:rPr>
        <w:t xml:space="preserve">The evaluation uses publicly available, standard benchmark collections for nearest-neighbour search, each of which is distributed together with the exact ground-truth neighbour set for its query vectors. This allows correctness to be verified by direct comparison rather than estimated, and allows the results to be placed alongside those reported in the existing literature [24].</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1.  SIFT1M and GIST1M — the TEXMEX/BIGANN evaluation corpus, comprising one million 128-dimensional SIFT descriptors and one million 960-dimensional GIST descriptors, with 10,000 and 1,000 query vectors respectively and precomputed ground truth. Available at: http://corpus-texmex.irisa.fr/</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2.  ANN-Benchmarks datasets [24] — including GloVe word embeddings (100 and 200 dimensions), NYTimes-256, and Fashion-MNIST-784, providing variation in dimensionality and distance metric. Available at: http://ann-benchmarks.com/</w:t>
      </w:r>
    </w:p>
    <w:p>
      <w:pPr>
        <w:spacing w:after="160" w:line="300"/>
        <w:ind w:left="431" w:hanging="431"/>
        <w:jc w:val="both"/>
      </w:pPr>
      <w:r>
        <w:rPr>
          <w:rFonts w:ascii="Times New Roman" w:cs="Times New Roman" w:eastAsia="Times New Roman" w:hAnsi="Times New Roman"/>
          <w:b w:val="false"/>
          <w:bCs w:val="false"/>
          <w:i w:val="false"/>
          <w:iCs w:val="false"/>
          <w:sz w:val="24"/>
          <w:szCs w:val="24"/>
        </w:rPr>
        <w:t xml:space="preserve">3.  Synthetic embedding sets — generated locally with controlled cardinality and dimensionality (up to 10 million vectors of 768 dimensions) to extend the scaling study beyond the sizes covered by the public benchmarks and to force multi-GPU execution.</w:t>
      </w:r>
    </w:p>
    <w:p>
      <w:pPr>
        <w:pStyle w:val="Heading1"/>
        <w:spacing w:after="140" w:before="260"/>
      </w:pPr>
      <w:r>
        <w:rPr>
          <w:rFonts w:ascii="Times New Roman" w:cs="Times New Roman" w:eastAsia="Times New Roman" w:hAnsi="Times New Roman"/>
          <w:b/>
          <w:bCs/>
          <w:color w:val="000000"/>
          <w:sz w:val="26"/>
          <w:szCs w:val="26"/>
        </w:rPr>
        <w:t xml:space="preserve">References</w:t>
      </w:r>
    </w:p>
    <w:p>
      <w:pPr>
        <w:spacing w:after="100" w:line="260"/>
        <w:ind w:left="720" w:hanging="720"/>
        <w:jc w:val="both"/>
      </w:pPr>
      <w:r>
        <w:rPr>
          <w:rFonts w:ascii="Times New Roman" w:cs="Times New Roman" w:eastAsia="Times New Roman" w:hAnsi="Times New Roman"/>
          <w:sz w:val="22"/>
          <w:szCs w:val="22"/>
        </w:rPr>
        <w:t xml:space="preserve">[1] D. Roy and M. Dutta, “A systematic review and research perspective on recommender systems,” Journal of Big Data, vol. 9, no. 1, 2022, doi: 10.1186/s40537-022-00592-5.</w:t>
      </w:r>
    </w:p>
    <w:p>
      <w:pPr>
        <w:spacing w:after="100" w:line="260"/>
        <w:ind w:left="720" w:hanging="720"/>
        <w:jc w:val="both"/>
      </w:pPr>
      <w:r>
        <w:rPr>
          <w:rFonts w:ascii="Times New Roman" w:cs="Times New Roman" w:eastAsia="Times New Roman" w:hAnsi="Times New Roman"/>
          <w:sz w:val="22"/>
          <w:szCs w:val="22"/>
        </w:rPr>
        <w:t xml:space="preserve">[2] J. J. Pan, J. Wang, and G. Li, “Survey of vector database management systems,” The VLDB Journal, vol. 33, no. 5, pp. 1591–1615, 2024.</w:t>
      </w:r>
    </w:p>
    <w:p>
      <w:pPr>
        <w:spacing w:after="100" w:line="260"/>
        <w:ind w:left="720" w:hanging="720"/>
        <w:jc w:val="both"/>
      </w:pPr>
      <w:r>
        <w:rPr>
          <w:rFonts w:ascii="Times New Roman" w:cs="Times New Roman" w:eastAsia="Times New Roman" w:hAnsi="Times New Roman"/>
          <w:sz w:val="22"/>
          <w:szCs w:val="22"/>
        </w:rPr>
        <w:t xml:space="preserve">[3] Y. A. Malkov and D. A. Yashunin, “Efficient and robust approximate nearest neighbor search using hierarchical navigable small world graphs,” IEEE Transactions on Pattern Analysis and Machine Intelligence, vol. 42, no. 4, pp. 824–836, Apr. 2020.</w:t>
      </w:r>
    </w:p>
    <w:p>
      <w:pPr>
        <w:spacing w:after="100" w:line="260"/>
        <w:ind w:left="720" w:hanging="720"/>
        <w:jc w:val="both"/>
      </w:pPr>
      <w:r>
        <w:rPr>
          <w:rFonts w:ascii="Times New Roman" w:cs="Times New Roman" w:eastAsia="Times New Roman" w:hAnsi="Times New Roman"/>
          <w:sz w:val="22"/>
          <w:szCs w:val="22"/>
        </w:rPr>
        <w:t xml:space="preserve">[4] H. Jégou, M. Douze, and C. Schmid, “Product quantization for nearest neighbor search,” IEEE Transactions on Pattern Analysis and Machine Intelligence, vol. 33, no. 1, pp. 117–128, Jan. 2011.</w:t>
      </w:r>
    </w:p>
    <w:p>
      <w:pPr>
        <w:spacing w:after="100" w:line="260"/>
        <w:ind w:left="720" w:hanging="720"/>
        <w:jc w:val="both"/>
      </w:pPr>
      <w:r>
        <w:rPr>
          <w:rFonts w:ascii="Times New Roman" w:cs="Times New Roman" w:eastAsia="Times New Roman" w:hAnsi="Times New Roman"/>
          <w:sz w:val="22"/>
          <w:szCs w:val="22"/>
        </w:rPr>
        <w:t xml:space="preserve">[5] J. Johnson, M. Douze, and H. Jégou, “Billion-scale similarity search with GPUs,” IEEE Transactions on Big Data, vol. 7, no. 3, pp. 535–547, Jul. 2021.</w:t>
      </w:r>
    </w:p>
    <w:p>
      <w:pPr>
        <w:spacing w:after="100" w:line="260"/>
        <w:ind w:left="720" w:hanging="720"/>
        <w:jc w:val="both"/>
      </w:pPr>
      <w:r>
        <w:rPr>
          <w:rFonts w:ascii="Times New Roman" w:cs="Times New Roman" w:eastAsia="Times New Roman" w:hAnsi="Times New Roman"/>
          <w:sz w:val="22"/>
          <w:szCs w:val="22"/>
        </w:rPr>
        <w:t xml:space="preserve">[6] W. Li, Y. Zhang, Y. Sun, W. Wang, M. Li, W. Zhang, and X. Lin, “Approximate nearest neighbor search on high dimensional data — experiments, analyses, and improvement,” IEEE Transactions on Knowledge and Data Engineering, vol. 32, no. 8, pp. 1475–1488, Aug. 2020.</w:t>
      </w:r>
    </w:p>
    <w:p>
      <w:pPr>
        <w:spacing w:after="100" w:line="260"/>
        <w:ind w:left="720" w:hanging="720"/>
        <w:jc w:val="both"/>
      </w:pPr>
      <w:r>
        <w:rPr>
          <w:rFonts w:ascii="Times New Roman" w:cs="Times New Roman" w:eastAsia="Times New Roman" w:hAnsi="Times New Roman"/>
          <w:sz w:val="22"/>
          <w:szCs w:val="22"/>
        </w:rPr>
        <w:t xml:space="preserve">[7] Y. Malkov, A. Ponomarenko, A. Logvinov, and V. Krylov, “Approximate nearest neighbor algorithm based on navigable small world graphs,” Information Systems, vol. 45, pp. 61–68, 2014.</w:t>
      </w:r>
    </w:p>
    <w:p>
      <w:pPr>
        <w:spacing w:after="100" w:line="260"/>
        <w:ind w:left="720" w:hanging="720"/>
        <w:jc w:val="both"/>
      </w:pPr>
      <w:r>
        <w:rPr>
          <w:rFonts w:ascii="Times New Roman" w:cs="Times New Roman" w:eastAsia="Times New Roman" w:hAnsi="Times New Roman"/>
          <w:sz w:val="22"/>
          <w:szCs w:val="22"/>
        </w:rPr>
        <w:t xml:space="preserve">[8] T. Ge, K. He, Q. Ke, and J. Sun, “Optimized product quantization,” IEEE Transactions on Pattern Analysis and Machine Intelligence, vol. 36, no. 4, pp. 744–755, Apr. 2014.</w:t>
      </w:r>
    </w:p>
    <w:p>
      <w:pPr>
        <w:spacing w:after="100" w:line="260"/>
        <w:ind w:left="720" w:hanging="720"/>
        <w:jc w:val="both"/>
      </w:pPr>
      <w:r>
        <w:rPr>
          <w:rFonts w:ascii="Times New Roman" w:cs="Times New Roman" w:eastAsia="Times New Roman" w:hAnsi="Times New Roman"/>
          <w:sz w:val="22"/>
          <w:szCs w:val="22"/>
        </w:rPr>
        <w:t xml:space="preserve">[9] L. Niu, Z. Xu, L. Zhao, D. He, J. Ji, X. Yuan, and M. Xue, “Residual vector product quantization for approximate nearest neighbor search,” Expert Systems with Applications, vol. 232, 2023, Art. no. 120832.</w:t>
      </w:r>
    </w:p>
    <w:p>
      <w:pPr>
        <w:spacing w:after="100" w:line="260"/>
        <w:ind w:left="720" w:hanging="720"/>
        <w:jc w:val="both"/>
      </w:pPr>
      <w:r>
        <w:rPr>
          <w:rFonts w:ascii="Times New Roman" w:cs="Times New Roman" w:eastAsia="Times New Roman" w:hAnsi="Times New Roman"/>
          <w:sz w:val="22"/>
          <w:szCs w:val="22"/>
        </w:rPr>
        <w:t xml:space="preserve">[10] Z. Pan, L. Wang, Y. Wang, and Y. Liu, “Product quantization with dual codebooks for approximate nearest neighbor search,” Neurocomputing, vol. 401, pp. 59–68, 2020.</w:t>
      </w:r>
    </w:p>
    <w:p>
      <w:pPr>
        <w:spacing w:after="100" w:line="260"/>
        <w:ind w:left="720" w:hanging="720"/>
        <w:jc w:val="both"/>
      </w:pPr>
      <w:r>
        <w:rPr>
          <w:rFonts w:ascii="Times New Roman" w:cs="Times New Roman" w:eastAsia="Times New Roman" w:hAnsi="Times New Roman"/>
          <w:sz w:val="22"/>
          <w:szCs w:val="22"/>
        </w:rPr>
        <w:t xml:space="preserve">[11] J. V. Munoz, M. A. Gonçalves, Z. Dias, and R. da S. Torres, “Hierarchical clustering-based graphs for large scale approximate nearest neighbor search,” Pattern Recognition, vol. 96, 2019, Art. no. 106970.</w:t>
      </w:r>
    </w:p>
    <w:p>
      <w:pPr>
        <w:spacing w:after="100" w:line="260"/>
        <w:ind w:left="720" w:hanging="720"/>
        <w:jc w:val="both"/>
      </w:pPr>
      <w:r>
        <w:rPr>
          <w:rFonts w:ascii="Times New Roman" w:cs="Times New Roman" w:eastAsia="Times New Roman" w:hAnsi="Times New Roman"/>
          <w:sz w:val="22"/>
          <w:szCs w:val="22"/>
        </w:rPr>
        <w:t xml:space="preserve">[12] M. Muja and D. G. Lowe, “Scalable nearest neighbor algorithms for high dimensional data,” IEEE Transactions on Pattern Analysis and Machine Intelligence, vol. 36, no. 11, pp. 2227–2240, Nov. 2014.</w:t>
      </w:r>
    </w:p>
    <w:p>
      <w:pPr>
        <w:spacing w:after="100" w:line="260"/>
        <w:ind w:left="720" w:hanging="720"/>
        <w:jc w:val="both"/>
      </w:pPr>
      <w:r>
        <w:rPr>
          <w:rFonts w:ascii="Times New Roman" w:cs="Times New Roman" w:eastAsia="Times New Roman" w:hAnsi="Times New Roman"/>
          <w:sz w:val="22"/>
          <w:szCs w:val="22"/>
        </w:rPr>
        <w:t xml:space="preserve">[13] L. Li, A. Han, X. Cui, and B. Wu, “Flex: A fast and lightweight learned index for kNN search in high-dimensional space,” Information Sciences, vol. 669, 2024, Art. no. 120546.</w:t>
      </w:r>
    </w:p>
    <w:p>
      <w:pPr>
        <w:spacing w:after="100" w:line="260"/>
        <w:ind w:left="720" w:hanging="720"/>
        <w:jc w:val="both"/>
      </w:pPr>
      <w:r>
        <w:rPr>
          <w:rFonts w:ascii="Times New Roman" w:cs="Times New Roman" w:eastAsia="Times New Roman" w:hAnsi="Times New Roman"/>
          <w:sz w:val="22"/>
          <w:szCs w:val="22"/>
        </w:rPr>
        <w:t xml:space="preserve">[14] X. Gao, Z. Chen, B. Zhang, and J. Wei, “Deep learning to hash with application to cross-view nearest neighbor search,” IEEE Transactions on Circuits and Systems for Video Technology, vol. 35, no. 4, pp. 3882–3892, 2025.</w:t>
      </w:r>
    </w:p>
    <w:p>
      <w:pPr>
        <w:spacing w:after="100" w:line="260"/>
        <w:ind w:left="720" w:hanging="720"/>
        <w:jc w:val="both"/>
      </w:pPr>
      <w:r>
        <w:rPr>
          <w:rFonts w:ascii="Times New Roman" w:cs="Times New Roman" w:eastAsia="Times New Roman" w:hAnsi="Times New Roman"/>
          <w:sz w:val="22"/>
          <w:szCs w:val="22"/>
        </w:rPr>
        <w:t xml:space="preserve">[15] F. Groh, L. Ruppert, P. Wieschollek, and H. P. A. Lensch, “GGNN: Graph-based GPU nearest neighbor search,” IEEE Transactions on Big Data, vol. 9, no. 1, pp. 267–279, Feb. 2023.</w:t>
      </w:r>
    </w:p>
    <w:p>
      <w:pPr>
        <w:spacing w:after="100" w:line="260"/>
        <w:ind w:left="720" w:hanging="720"/>
        <w:jc w:val="both"/>
      </w:pPr>
      <w:r>
        <w:rPr>
          <w:rFonts w:ascii="Times New Roman" w:cs="Times New Roman" w:eastAsia="Times New Roman" w:hAnsi="Times New Roman"/>
          <w:sz w:val="22"/>
          <w:szCs w:val="22"/>
        </w:rPr>
        <w:t xml:space="preserve">[16] A. Dashti, I. Komarov, and R. M. D’Souza, “Efficient computation of k-nearest neighbour graphs for large high-dimensional data sets on GPU clusters,” PLoS ONE, vol. 8, no. 9, 2013, Art. no. e74113.</w:t>
      </w:r>
    </w:p>
    <w:p>
      <w:pPr>
        <w:spacing w:after="100" w:line="260"/>
        <w:ind w:left="720" w:hanging="720"/>
        <w:jc w:val="both"/>
      </w:pPr>
      <w:r>
        <w:rPr>
          <w:rFonts w:ascii="Times New Roman" w:cs="Times New Roman" w:eastAsia="Times New Roman" w:hAnsi="Times New Roman"/>
          <w:sz w:val="22"/>
          <w:szCs w:val="22"/>
        </w:rPr>
        <w:t xml:space="preserve">[17] M. Gowanlock, “Hybrid KNN-join: Parallel nearest neighbor searches exploiting CPU and GPU architectural features,” Journal of Parallel and Distributed Computing, vol. 149, pp. 119–137, Mar. 2021.</w:t>
      </w:r>
    </w:p>
    <w:p>
      <w:pPr>
        <w:spacing w:after="100" w:line="260"/>
        <w:ind w:left="720" w:hanging="720"/>
        <w:jc w:val="both"/>
      </w:pPr>
      <w:r>
        <w:rPr>
          <w:rFonts w:ascii="Times New Roman" w:cs="Times New Roman" w:eastAsia="Times New Roman" w:hAnsi="Times New Roman"/>
          <w:sz w:val="22"/>
          <w:szCs w:val="22"/>
        </w:rPr>
        <w:t xml:space="preserve">[18] P. Hijma, S. Heldens, A. Sclocco, B. van Werkhoven, and H. E. Bal, “Optimization techniques for GPU programming,” ACM Computing Surveys, vol. 55, no. 11, 2023, Art. no. 239.</w:t>
      </w:r>
    </w:p>
    <w:p>
      <w:pPr>
        <w:spacing w:after="100" w:line="260"/>
        <w:ind w:left="720" w:hanging="720"/>
        <w:jc w:val="both"/>
      </w:pPr>
      <w:r>
        <w:rPr>
          <w:rFonts w:ascii="Times New Roman" w:cs="Times New Roman" w:eastAsia="Times New Roman" w:hAnsi="Times New Roman"/>
          <w:sz w:val="22"/>
          <w:szCs w:val="22"/>
        </w:rPr>
        <w:t xml:space="preserve">[19] J. Filipovič, M. Madzin, J. Fousek, and L. Matyska, “Optimizing CUDA code by kernel fusion: Application on BLAS,” The Journal of Supercomputing, vol. 71, no. 10, pp. 3934–3957, 2015.</w:t>
      </w:r>
    </w:p>
    <w:p>
      <w:pPr>
        <w:spacing w:after="100" w:line="260"/>
        <w:ind w:left="720" w:hanging="720"/>
        <w:jc w:val="both"/>
      </w:pPr>
      <w:r>
        <w:rPr>
          <w:rFonts w:ascii="Times New Roman" w:cs="Times New Roman" w:eastAsia="Times New Roman" w:hAnsi="Times New Roman"/>
          <w:sz w:val="22"/>
          <w:szCs w:val="22"/>
        </w:rPr>
        <w:t xml:space="preserve">[20] T. Alabi, J. D. Blanchard, B. Gordon, and R. Steinbach, “Fast k-selection algorithms for graphics processing units,” ACM Journal of Experimental Algorithmics, vol. 17, 2012, Art. no. 4.2.</w:t>
      </w:r>
    </w:p>
    <w:p>
      <w:pPr>
        <w:spacing w:after="100" w:line="260"/>
        <w:ind w:left="720" w:hanging="720"/>
        <w:jc w:val="both"/>
      </w:pPr>
      <w:r>
        <w:rPr>
          <w:rFonts w:ascii="Times New Roman" w:cs="Times New Roman" w:eastAsia="Times New Roman" w:hAnsi="Times New Roman"/>
          <w:sz w:val="22"/>
          <w:szCs w:val="22"/>
        </w:rPr>
        <w:t xml:space="preserve">[21] M. González and E. Morancho, “Multi-GPU systems and unified virtual memory for scientific applications: The case of the NAS multi-zone parallel benchmarks,” Journal of Parallel and Distributed Computing, vol. 158, pp. 138–150, Dec. 2021.</w:t>
      </w:r>
    </w:p>
    <w:p>
      <w:pPr>
        <w:spacing w:after="100" w:line="260"/>
        <w:ind w:left="720" w:hanging="720"/>
        <w:jc w:val="both"/>
      </w:pPr>
      <w:r>
        <w:rPr>
          <w:rFonts w:ascii="Times New Roman" w:cs="Times New Roman" w:eastAsia="Times New Roman" w:hAnsi="Times New Roman"/>
          <w:sz w:val="22"/>
          <w:szCs w:val="22"/>
        </w:rPr>
        <w:t xml:space="preserve">[22] M. González and E. Morancho, “Multi-GPU parallelization of the NAS multi-zone parallel benchmarks,” IEEE Transactions on Parallel and Distributed Systems, vol. 32, no. 1, pp. 229–241, Jan. 2021.</w:t>
      </w:r>
    </w:p>
    <w:p>
      <w:pPr>
        <w:spacing w:after="100" w:line="260"/>
        <w:ind w:left="720" w:hanging="720"/>
        <w:jc w:val="both"/>
      </w:pPr>
      <w:r>
        <w:rPr>
          <w:rFonts w:ascii="Times New Roman" w:cs="Times New Roman" w:eastAsia="Times New Roman" w:hAnsi="Times New Roman"/>
          <w:sz w:val="22"/>
          <w:szCs w:val="22"/>
        </w:rPr>
        <w:t xml:space="preserve">[23] M. Gonzalez Tallada and E. Morancho, “Heterogeneous programming using OpenMP and CUDA/HIP for hybrid CPU-GPU scientific applications,” The International Journal of High Performance Computing Applications, vol. 37, no. 5, 2023.</w:t>
      </w:r>
    </w:p>
    <w:p>
      <w:pPr>
        <w:spacing w:after="100" w:line="260"/>
        <w:ind w:left="720" w:hanging="720"/>
        <w:jc w:val="both"/>
      </w:pPr>
      <w:r>
        <w:rPr>
          <w:rFonts w:ascii="Times New Roman" w:cs="Times New Roman" w:eastAsia="Times New Roman" w:hAnsi="Times New Roman"/>
          <w:sz w:val="22"/>
          <w:szCs w:val="22"/>
        </w:rPr>
        <w:t xml:space="preserve">[24] M. Aumüller, E. Bernhardsson, and A. Faithfull, “ANN-Benchmarks: A benchmarking tool for approximate nearest neighbor algorithms,” Information Systems, vol. 87, 2020, Art. no. 101374.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2026-08-26T17:17:32.999Z</dcterms:created>
  <dcterms:modified xsi:type="dcterms:W3CDTF">2026-08-26T17:17:32.999Z</dcterms:modified>
</cp:coreProperties>
</file>

<file path=docProps/custom.xml><?xml version="1.0" encoding="utf-8"?>
<Properties xmlns="http://schemas.openxmlformats.org/officeDocument/2006/custom-properties" xmlns:vt="http://schemas.openxmlformats.org/officeDocument/2006/docPropsVTypes"/>
</file>