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R4#show run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Current configuration : 1464 bytes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! Last configuration change at 21:43:23 EET Sun Nov 11 2018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! NVRAM config last updated at 22:43:03 EET Sun Nov 11 2018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version 15.5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 service password-encryption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hostname R4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boot-start-marker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boot-end-marker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 aaa new-model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bsd-client server url https://cloudsso.cisco.com/as/token.oauth2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clock timezone EET 2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mmi polling-interval 60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 mmi auto-configure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 mmi pvc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mmi snmp-timeout 180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 ip domain lookup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ip cef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ipv6 unicast-routing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ipv6 cef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key chain ripAuth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key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key-string cisco123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cts logging verbose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redundancy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interface Ethernet0/0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shutdown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interface Ethernet0/1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ip address 10.15.9.1 255.255.255.252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ip rip authentication mode md5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ip rip authentication key-chain ripAuth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ipv6 address FE80::4 link-local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ipv6 address 2001:DB8:CAFE:9::1/64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ipv6 enable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ipv6 rip RIPng enable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interface Ethernet0/2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shutdown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interface Ethernet0/3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no ip address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shutdown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router rip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version 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network 10.0.0.0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no auto-summary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ip forward-protocol nd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no ip http server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no ip http secure-server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ipv6 router rip RIPng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control-plane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line con 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logging synchronous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line aux 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login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transport input none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ntp update-calendar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ntp server 10.15.2.1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R4#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