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C953" w14:textId="77777777" w:rsidR="00956AE8" w:rsidRDefault="00956AE8" w:rsidP="00956AE8">
      <w:pPr>
        <w:rPr>
          <w:b/>
          <w:bCs/>
          <w:sz w:val="28"/>
          <w:szCs w:val="28"/>
        </w:rPr>
      </w:pPr>
      <w:r w:rsidRPr="0034783A">
        <w:rPr>
          <w:b/>
          <w:bCs/>
          <w:sz w:val="28"/>
          <w:szCs w:val="28"/>
        </w:rPr>
        <w:t>2. Edge AI Classification and Intelligent Multi-Node Verification</w:t>
      </w:r>
    </w:p>
    <w:p w14:paraId="0D854002" w14:textId="77777777" w:rsidR="00956AE8" w:rsidRPr="001E4444" w:rsidRDefault="00956AE8" w:rsidP="00956AE8">
      <w:pPr>
        <w:rPr>
          <w:b/>
          <w:bCs/>
          <w:sz w:val="24"/>
          <w:szCs w:val="24"/>
        </w:rPr>
      </w:pPr>
      <w:r>
        <w:rPr>
          <w:b/>
          <w:bCs/>
          <w:sz w:val="28"/>
          <w:szCs w:val="28"/>
        </w:rPr>
        <w:t xml:space="preserve"> </w:t>
      </w:r>
      <w:r w:rsidRPr="001E4444">
        <w:rPr>
          <w:b/>
          <w:bCs/>
          <w:sz w:val="24"/>
          <w:szCs w:val="24"/>
        </w:rPr>
        <w:t>2.1 Overview</w:t>
      </w:r>
    </w:p>
    <w:p w14:paraId="4BF551CF" w14:textId="77777777" w:rsidR="00956AE8" w:rsidRDefault="00956AE8" w:rsidP="00956AE8">
      <w:pPr>
        <w:rPr>
          <w:sz w:val="24"/>
          <w:szCs w:val="24"/>
        </w:rPr>
      </w:pPr>
      <w:r w:rsidRPr="00D21282">
        <w:rPr>
          <w:sz w:val="24"/>
          <w:szCs w:val="24"/>
        </w:rPr>
        <w:t xml:space="preserve">The Edge AI layer performs real-time intrusion classification directly on field-deployed nodes. By executing inference locally, the system achieves low response latency, reduced communication overhead, and reliable operation in agricultural environments with intermittent connectivity. This layer transforms validated sensor events into actionable intrusion decisions.  </w:t>
      </w:r>
    </w:p>
    <w:p w14:paraId="1D505E2C" w14:textId="77777777" w:rsidR="00956AE8" w:rsidRPr="001E4444" w:rsidRDefault="00956AE8" w:rsidP="00956AE8">
      <w:pPr>
        <w:rPr>
          <w:b/>
          <w:bCs/>
          <w:sz w:val="24"/>
          <w:szCs w:val="24"/>
        </w:rPr>
      </w:pPr>
      <w:r w:rsidRPr="001E4444">
        <w:rPr>
          <w:b/>
          <w:bCs/>
          <w:sz w:val="24"/>
          <w:szCs w:val="24"/>
        </w:rPr>
        <w:t>2.2 Event – Driven Sensor Fusion</w:t>
      </w:r>
    </w:p>
    <w:p w14:paraId="2F398E02" w14:textId="77777777" w:rsidR="00956AE8" w:rsidRDefault="00956AE8" w:rsidP="00956AE8">
      <w:pPr>
        <w:rPr>
          <w:sz w:val="24"/>
          <w:szCs w:val="24"/>
        </w:rPr>
      </w:pPr>
      <w:r w:rsidRPr="00D21282">
        <w:rPr>
          <w:sz w:val="24"/>
          <w:szCs w:val="24"/>
        </w:rPr>
        <w:t>An event-driven sensing strategy is adopted to minimize power consumption. A PIR sensor</w:t>
      </w:r>
      <w:r>
        <w:rPr>
          <w:sz w:val="24"/>
          <w:szCs w:val="24"/>
        </w:rPr>
        <w:t xml:space="preserve"> </w:t>
      </w:r>
      <w:r w:rsidRPr="00AD5F73">
        <w:rPr>
          <w:sz w:val="24"/>
          <w:szCs w:val="24"/>
        </w:rPr>
        <w:t>(HC-SR502)</w:t>
      </w:r>
      <w:r w:rsidRPr="00D21282">
        <w:rPr>
          <w:sz w:val="24"/>
          <w:szCs w:val="24"/>
        </w:rPr>
        <w:t xml:space="preserve"> provides the initial motion trigger, followed by thermal </w:t>
      </w:r>
      <w:r w:rsidRPr="00AD5F73">
        <w:rPr>
          <w:sz w:val="24"/>
          <w:szCs w:val="24"/>
        </w:rPr>
        <w:t>verification (</w:t>
      </w:r>
      <w:proofErr w:type="spellStart"/>
      <w:r w:rsidRPr="00AD5F73">
        <w:rPr>
          <w:sz w:val="24"/>
          <w:szCs w:val="24"/>
        </w:rPr>
        <w:t>Melexis</w:t>
      </w:r>
      <w:proofErr w:type="spellEnd"/>
      <w:r w:rsidRPr="00AD5F73">
        <w:rPr>
          <w:sz w:val="24"/>
          <w:szCs w:val="24"/>
        </w:rPr>
        <w:t xml:space="preserve"> MLX90640) </w:t>
      </w:r>
      <w:r w:rsidRPr="00D21282">
        <w:rPr>
          <w:sz w:val="24"/>
          <w:szCs w:val="24"/>
        </w:rPr>
        <w:t>to confirm the presence of a warm-blooded object. Let</w:t>
      </w:r>
      <w:r>
        <w:rPr>
          <w:sz w:val="24"/>
          <w:szCs w:val="24"/>
        </w:rPr>
        <w:t xml:space="preserve"> </w:t>
      </w:r>
    </w:p>
    <w:p w14:paraId="4E09BC44" w14:textId="77777777" w:rsidR="00956AE8" w:rsidRDefault="00956AE8" w:rsidP="00956AE8">
      <w:pPr>
        <w:jc w:val="center"/>
        <w:rPr>
          <w:sz w:val="24"/>
          <w:szCs w:val="24"/>
        </w:rPr>
      </w:pPr>
      <w:r w:rsidRPr="00D21282">
        <w:rPr>
          <w:noProof/>
          <w:sz w:val="24"/>
          <w:szCs w:val="24"/>
        </w:rPr>
        <w:drawing>
          <wp:inline distT="0" distB="0" distL="0" distR="0" wp14:anchorId="0D15E7C3" wp14:editId="63FFF973">
            <wp:extent cx="1356360" cy="431768"/>
            <wp:effectExtent l="0" t="0" r="0" b="6985"/>
            <wp:docPr id="149410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68070" name=""/>
                    <pic:cNvPicPr/>
                  </pic:nvPicPr>
                  <pic:blipFill>
                    <a:blip r:embed="rId4"/>
                    <a:stretch>
                      <a:fillRect/>
                    </a:stretch>
                  </pic:blipFill>
                  <pic:spPr>
                    <a:xfrm>
                      <a:off x="0" y="0"/>
                      <a:ext cx="1388576" cy="442023"/>
                    </a:xfrm>
                    <a:prstGeom prst="rect">
                      <a:avLst/>
                    </a:prstGeom>
                  </pic:spPr>
                </pic:pic>
              </a:graphicData>
            </a:graphic>
          </wp:inline>
        </w:drawing>
      </w:r>
    </w:p>
    <w:p w14:paraId="668858DD" w14:textId="77777777" w:rsidR="00956AE8" w:rsidRDefault="00956AE8" w:rsidP="00956AE8">
      <w:pPr>
        <w:rPr>
          <w:sz w:val="24"/>
          <w:szCs w:val="24"/>
        </w:rPr>
      </w:pPr>
      <w:r w:rsidRPr="00AD5F73">
        <w:rPr>
          <w:sz w:val="24"/>
          <w:szCs w:val="24"/>
        </w:rPr>
        <w:t>and thermal validation be expressed as</w:t>
      </w:r>
    </w:p>
    <w:p w14:paraId="17C60029" w14:textId="77777777" w:rsidR="00956AE8" w:rsidRDefault="00956AE8" w:rsidP="00956AE8">
      <w:pPr>
        <w:jc w:val="center"/>
        <w:rPr>
          <w:sz w:val="24"/>
          <w:szCs w:val="24"/>
        </w:rPr>
      </w:pPr>
      <w:r w:rsidRPr="00AD5F73">
        <w:rPr>
          <w:noProof/>
          <w:sz w:val="24"/>
          <w:szCs w:val="24"/>
        </w:rPr>
        <w:drawing>
          <wp:inline distT="0" distB="0" distL="0" distR="0" wp14:anchorId="7D442E28" wp14:editId="3BAB9CD5">
            <wp:extent cx="1470660" cy="359014"/>
            <wp:effectExtent l="0" t="0" r="0" b="3175"/>
            <wp:docPr id="52062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72518" name=""/>
                    <pic:cNvPicPr/>
                  </pic:nvPicPr>
                  <pic:blipFill>
                    <a:blip r:embed="rId5"/>
                    <a:stretch>
                      <a:fillRect/>
                    </a:stretch>
                  </pic:blipFill>
                  <pic:spPr>
                    <a:xfrm>
                      <a:off x="0" y="0"/>
                      <a:ext cx="1504039" cy="367162"/>
                    </a:xfrm>
                    <a:prstGeom prst="rect">
                      <a:avLst/>
                    </a:prstGeom>
                  </pic:spPr>
                </pic:pic>
              </a:graphicData>
            </a:graphic>
          </wp:inline>
        </w:drawing>
      </w:r>
    </w:p>
    <w:p w14:paraId="2200F1A0" w14:textId="77777777" w:rsidR="00956AE8" w:rsidRPr="00AD5F73" w:rsidRDefault="00956AE8" w:rsidP="00956AE8">
      <w:pPr>
        <w:rPr>
          <w:sz w:val="24"/>
          <w:szCs w:val="24"/>
        </w:rPr>
      </w:pPr>
      <w:r w:rsidRPr="00AD5F73">
        <w:rPr>
          <w:sz w:val="24"/>
          <w:szCs w:val="24"/>
        </w:rPr>
        <w:t xml:space="preserve">where </w:t>
      </w:r>
      <m:oMath>
        <m:r>
          <m:rPr>
            <m:sty m:val="p"/>
          </m:rPr>
          <w:rPr>
            <w:rFonts w:ascii="Cambria Math" w:hAnsi="Cambria Math"/>
            <w:sz w:val="24"/>
            <w:szCs w:val="24"/>
          </w:rPr>
          <m:t>Δ</m:t>
        </m:r>
        <m:r>
          <w:rPr>
            <w:rFonts w:ascii="Cambria Math" w:hAnsi="Cambria Math"/>
            <w:sz w:val="24"/>
            <w:szCs w:val="24"/>
          </w:rPr>
          <m:t>T</m:t>
        </m:r>
      </m:oMath>
      <w:r w:rsidRPr="00AD5F73">
        <w:rPr>
          <w:sz w:val="24"/>
          <w:szCs w:val="24"/>
        </w:rPr>
        <w:t>is the adaptive thermal threshold. Image acquisition is triggered only when:</w:t>
      </w:r>
    </w:p>
    <w:p w14:paraId="19423A9A" w14:textId="77777777" w:rsidR="00956AE8" w:rsidRDefault="00000000" w:rsidP="00956AE8">
      <w:pPr>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final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PIR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TH</m:t>
              </m:r>
            </m:sub>
          </m:sSub>
          <m:r>
            <m:rPr>
              <m:sty m:val="p"/>
            </m:rPr>
            <w:rPr>
              <w:sz w:val="24"/>
              <w:szCs w:val="24"/>
            </w:rPr>
            <w:br/>
          </m:r>
        </m:oMath>
      </m:oMathPara>
      <w:r w:rsidR="00956AE8" w:rsidRPr="00AD5F73">
        <w:rPr>
          <w:sz w:val="24"/>
          <w:szCs w:val="24"/>
        </w:rPr>
        <w:t>This cascaded fusion significantly reduces false triggers and unnecessary image capture.</w:t>
      </w:r>
    </w:p>
    <w:p w14:paraId="1C8C9045" w14:textId="77777777" w:rsidR="001E4444" w:rsidRDefault="001E4444" w:rsidP="00956AE8">
      <w:pPr>
        <w:rPr>
          <w:noProof/>
        </w:rPr>
      </w:pPr>
    </w:p>
    <w:p w14:paraId="0473015C" w14:textId="72901543" w:rsidR="001E4444" w:rsidRDefault="001E4444" w:rsidP="001E4444">
      <w:pPr>
        <w:jc w:val="center"/>
        <w:rPr>
          <w:sz w:val="24"/>
          <w:szCs w:val="24"/>
        </w:rPr>
      </w:pPr>
      <w:r>
        <w:rPr>
          <w:noProof/>
        </w:rPr>
        <w:drawing>
          <wp:inline distT="0" distB="0" distL="0" distR="0" wp14:anchorId="7474B653" wp14:editId="7E86FBEE">
            <wp:extent cx="4602480" cy="1476393"/>
            <wp:effectExtent l="0" t="0" r="7620" b="9525"/>
            <wp:docPr id="100063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39121" b="33928"/>
                    <a:stretch>
                      <a:fillRect/>
                    </a:stretch>
                  </pic:blipFill>
                  <pic:spPr bwMode="auto">
                    <a:xfrm>
                      <a:off x="0" y="0"/>
                      <a:ext cx="4662758" cy="1495729"/>
                    </a:xfrm>
                    <a:prstGeom prst="rect">
                      <a:avLst/>
                    </a:prstGeom>
                    <a:noFill/>
                    <a:ln>
                      <a:noFill/>
                    </a:ln>
                    <a:extLst>
                      <a:ext uri="{53640926-AAD7-44D8-BBD7-CCE9431645EC}">
                        <a14:shadowObscured xmlns:a14="http://schemas.microsoft.com/office/drawing/2010/main"/>
                      </a:ext>
                    </a:extLst>
                  </pic:spPr>
                </pic:pic>
              </a:graphicData>
            </a:graphic>
          </wp:inline>
        </w:drawing>
      </w:r>
    </w:p>
    <w:p w14:paraId="7A6F83FC" w14:textId="7D2D42F7" w:rsidR="001E4444" w:rsidRDefault="001E4444" w:rsidP="001E4444">
      <w:pPr>
        <w:jc w:val="center"/>
        <w:rPr>
          <w:sz w:val="24"/>
          <w:szCs w:val="24"/>
        </w:rPr>
      </w:pPr>
      <w:r w:rsidRPr="001E4444">
        <w:rPr>
          <w:sz w:val="24"/>
          <w:szCs w:val="24"/>
        </w:rPr>
        <w:t xml:space="preserve">Figure </w:t>
      </w:r>
      <w:r>
        <w:rPr>
          <w:sz w:val="24"/>
          <w:szCs w:val="24"/>
        </w:rPr>
        <w:t>1</w:t>
      </w:r>
      <w:r w:rsidRPr="001E4444">
        <w:rPr>
          <w:sz w:val="24"/>
          <w:szCs w:val="24"/>
        </w:rPr>
        <w:t>: Event-driven sensor fusion workflow</w:t>
      </w:r>
    </w:p>
    <w:p w14:paraId="1CCEF79F" w14:textId="77777777" w:rsidR="00956AE8" w:rsidRPr="001E4444" w:rsidRDefault="00956AE8" w:rsidP="00956AE8">
      <w:pPr>
        <w:rPr>
          <w:b/>
          <w:bCs/>
          <w:sz w:val="24"/>
          <w:szCs w:val="24"/>
        </w:rPr>
      </w:pPr>
      <w:r w:rsidRPr="001E4444">
        <w:rPr>
          <w:b/>
          <w:bCs/>
          <w:sz w:val="24"/>
          <w:szCs w:val="24"/>
        </w:rPr>
        <w:t>2.3 Edge AI Model Deployment</w:t>
      </w:r>
    </w:p>
    <w:p w14:paraId="03837BAE" w14:textId="604EAEC4" w:rsidR="001E4444" w:rsidRDefault="00755595" w:rsidP="00755595">
      <w:pPr>
        <w:rPr>
          <w:sz w:val="24"/>
          <w:szCs w:val="24"/>
        </w:rPr>
      </w:pPr>
      <w:r w:rsidRPr="00755595">
        <w:rPr>
          <w:sz w:val="24"/>
          <w:szCs w:val="24"/>
        </w:rPr>
        <w:t>The model is trained offline on annotated agricultural datasets and is quantized to 8-bit integer before being deployed to the edge.</w:t>
      </w:r>
      <w:r>
        <w:rPr>
          <w:sz w:val="24"/>
          <w:szCs w:val="24"/>
        </w:rPr>
        <w:t xml:space="preserve"> </w:t>
      </w:r>
      <w:r w:rsidRPr="00755595">
        <w:rPr>
          <w:sz w:val="24"/>
          <w:szCs w:val="24"/>
        </w:rPr>
        <w:t>Quantization reduces memory usage and inference latency without significantly impacting the confidence of the classification.</w:t>
      </w:r>
      <w:r w:rsidR="00BE32FA">
        <w:rPr>
          <w:sz w:val="24"/>
          <w:szCs w:val="24"/>
        </w:rPr>
        <w:t xml:space="preserve"> </w:t>
      </w:r>
      <w:r w:rsidRPr="00755595">
        <w:rPr>
          <w:sz w:val="24"/>
          <w:szCs w:val="24"/>
        </w:rPr>
        <w:t>The model is deployed on the ESP32-CAM and performs inference in real time using TensorFlow Lite Micro.</w:t>
      </w:r>
    </w:p>
    <w:p w14:paraId="4015581E" w14:textId="77777777" w:rsidR="00755595" w:rsidRDefault="00755595" w:rsidP="00755595">
      <w:pPr>
        <w:rPr>
          <w:b/>
          <w:bCs/>
          <w:sz w:val="24"/>
          <w:szCs w:val="24"/>
        </w:rPr>
      </w:pPr>
    </w:p>
    <w:p w14:paraId="172EB09C" w14:textId="02549FCF" w:rsidR="00956AE8" w:rsidRPr="001E4444" w:rsidRDefault="00956AE8" w:rsidP="00956AE8">
      <w:pPr>
        <w:rPr>
          <w:b/>
          <w:bCs/>
          <w:sz w:val="24"/>
          <w:szCs w:val="24"/>
        </w:rPr>
      </w:pPr>
      <w:r w:rsidRPr="001E4444">
        <w:rPr>
          <w:b/>
          <w:bCs/>
          <w:sz w:val="24"/>
          <w:szCs w:val="24"/>
        </w:rPr>
        <w:lastRenderedPageBreak/>
        <w:t>2.4 On-Device Inference and Confidence-Based Decision Logic</w:t>
      </w:r>
    </w:p>
    <w:p w14:paraId="753A1C6C" w14:textId="77777777" w:rsidR="00956AE8" w:rsidRPr="00AD5F73" w:rsidRDefault="00956AE8" w:rsidP="00956AE8">
      <w:pPr>
        <w:rPr>
          <w:sz w:val="24"/>
          <w:szCs w:val="24"/>
        </w:rPr>
      </w:pPr>
      <w:r w:rsidRPr="00AD5F73">
        <w:rPr>
          <w:sz w:val="24"/>
          <w:szCs w:val="24"/>
        </w:rPr>
        <w:t xml:space="preserve">The neural network outputs class probabilities using a </w:t>
      </w:r>
      <w:proofErr w:type="spellStart"/>
      <w:r w:rsidRPr="00AD5F73">
        <w:rPr>
          <w:sz w:val="24"/>
          <w:szCs w:val="24"/>
        </w:rPr>
        <w:t>Softmax</w:t>
      </w:r>
      <w:proofErr w:type="spellEnd"/>
      <w:r w:rsidRPr="00AD5F73">
        <w:rPr>
          <w:sz w:val="24"/>
          <w:szCs w:val="24"/>
        </w:rPr>
        <w:t xml:space="preserve"> or Sigmoid activation. For a multi-class case, the </w:t>
      </w:r>
      <w:proofErr w:type="spellStart"/>
      <w:r w:rsidRPr="00AD5F73">
        <w:rPr>
          <w:sz w:val="24"/>
          <w:szCs w:val="24"/>
        </w:rPr>
        <w:t>Softmax</w:t>
      </w:r>
      <w:proofErr w:type="spellEnd"/>
      <w:r w:rsidRPr="00AD5F73">
        <w:rPr>
          <w:sz w:val="24"/>
          <w:szCs w:val="24"/>
        </w:rPr>
        <w:t xml:space="preserve"> function is defined as:</w:t>
      </w:r>
    </w:p>
    <w:p w14:paraId="1CE9E170" w14:textId="4C6F0114" w:rsidR="00956AE8" w:rsidRPr="00AD5F73" w:rsidRDefault="00000000" w:rsidP="00956AE8">
      <w:pPr>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sup>
                  </m:sSup>
                </m:e>
              </m:nary>
            </m:den>
          </m:f>
          <m:r>
            <m:rPr>
              <m:sty m:val="p"/>
            </m:rPr>
            <w:rPr>
              <w:sz w:val="24"/>
              <w:szCs w:val="24"/>
            </w:rPr>
            <w:br/>
          </m:r>
        </m:oMath>
      </m:oMathPara>
      <w:r w:rsidR="00956AE8" w:rsidRPr="00AD5F73">
        <w:rPr>
          <w:sz w:val="24"/>
          <w:szCs w:val="24"/>
        </w:rPr>
        <w:t xml:space="preserve">where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sidR="00956AE8" w:rsidRPr="00AD5F73">
        <w:rPr>
          <w:sz w:val="24"/>
          <w:szCs w:val="24"/>
        </w:rPr>
        <w:t xml:space="preserve">represents the confidence score for class </w:t>
      </w:r>
      <m:oMath>
        <m:r>
          <w:rPr>
            <w:rFonts w:ascii="Cambria Math" w:hAnsi="Cambria Math"/>
            <w:sz w:val="24"/>
            <w:szCs w:val="24"/>
          </w:rPr>
          <m:t>i</m:t>
        </m:r>
      </m:oMath>
      <w:r w:rsidR="00956AE8" w:rsidRPr="00AD5F73">
        <w:rPr>
          <w:sz w:val="24"/>
          <w:szCs w:val="24"/>
        </w:rPr>
        <w:t xml:space="preserve">. The detection decision is based on the maximum confidence value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max</m:t>
            </m:r>
          </m:sub>
        </m:sSub>
      </m:oMath>
      <w:r w:rsidR="00956AE8" w:rsidRPr="00AD5F73">
        <w:rPr>
          <w:sz w:val="24"/>
          <w:szCs w:val="24"/>
        </w:rPr>
        <w:t>:</w:t>
      </w:r>
    </w:p>
    <w:p w14:paraId="143A630F" w14:textId="59894623" w:rsidR="00956AE8" w:rsidRPr="00AD5F73" w:rsidRDefault="00000000" w:rsidP="00956AE8">
      <w:pP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max</m:t>
              </m:r>
            </m:sub>
          </m:sSub>
          <m:r>
            <w:rPr>
              <w:rFonts w:ascii="Cambria Math" w:hAnsi="Cambria Math"/>
              <w:sz w:val="24"/>
              <w:szCs w:val="24"/>
            </w:rPr>
            <m:t>=</m:t>
          </m:r>
          <m:r>
            <m:rPr>
              <m:sty m:val="p"/>
            </m:rPr>
            <w:rPr>
              <w:rFonts w:ascii="Cambria Math" w:hAnsi="Cambria Math"/>
              <w:sz w:val="24"/>
              <w:szCs w:val="24"/>
            </w:rPr>
            <m:t>max</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m:t>
              </m:r>
            </m:sub>
          </m:sSub>
          <m:r>
            <w:rPr>
              <w:rFonts w:ascii="Cambria Math" w:hAnsi="Cambria Math"/>
              <w:sz w:val="24"/>
              <w:szCs w:val="24"/>
            </w:rPr>
            <m:t>)</m:t>
          </m:r>
          <m:r>
            <m:rPr>
              <m:sty m:val="p"/>
            </m:rPr>
            <w:rPr>
              <w:sz w:val="24"/>
              <w:szCs w:val="24"/>
            </w:rPr>
            <w:br/>
          </m:r>
        </m:oMath>
      </m:oMathPara>
      <w:r w:rsidR="00956AE8" w:rsidRPr="00AD5F73">
        <w:rPr>
          <w:sz w:val="24"/>
          <w:szCs w:val="24"/>
        </w:rPr>
        <w:t>Decision rules are defined as:</w:t>
      </w:r>
    </w:p>
    <w:p w14:paraId="1EF70247" w14:textId="77777777" w:rsidR="00956AE8" w:rsidRDefault="00956AE8" w:rsidP="00956AE8">
      <w:pPr>
        <w:rPr>
          <w:sz w:val="24"/>
          <w:szCs w:val="24"/>
        </w:rPr>
      </w:pPr>
      <m:oMathPara>
        <m:oMath>
          <m:r>
            <m:rPr>
              <m:nor/>
            </m:rPr>
            <w:rPr>
              <w:sz w:val="24"/>
              <w:szCs w:val="24"/>
            </w:rPr>
            <m:t>Detection</m:t>
          </m:r>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m:rPr>
                        <m:nor/>
                      </m:rPr>
                      <w:rPr>
                        <w:sz w:val="24"/>
                        <w:szCs w:val="24"/>
                      </w:rPr>
                      <m:t>Confirmed</m:t>
                    </m:r>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max</m:t>
                        </m:r>
                      </m:sub>
                    </m:sSub>
                    <m:r>
                      <w:rPr>
                        <w:rFonts w:ascii="Cambria Math" w:hAnsi="Cambria Math"/>
                        <w:sz w:val="24"/>
                        <w:szCs w:val="24"/>
                      </w:rPr>
                      <m:t>≥0.80</m:t>
                    </m:r>
                  </m:e>
                </m:mr>
                <m:mr>
                  <m:e>
                    <m:r>
                      <m:rPr>
                        <m:nor/>
                      </m:rPr>
                      <w:rPr>
                        <w:sz w:val="24"/>
                        <w:szCs w:val="24"/>
                      </w:rPr>
                      <m:t>Verify</m:t>
                    </m:r>
                    <m:r>
                      <w:rPr>
                        <w:rFonts w:ascii="Cambria Math" w:hAnsi="Cambria Math"/>
                        <w:sz w:val="24"/>
                        <w:szCs w:val="24"/>
                      </w:rPr>
                      <m:t>,</m:t>
                    </m:r>
                  </m:e>
                  <m:e>
                    <m:r>
                      <w:rPr>
                        <w:rFonts w:ascii="Cambria Math" w:hAnsi="Cambria Math"/>
                        <w:sz w:val="24"/>
                        <w:szCs w:val="24"/>
                      </w:rPr>
                      <m:t>0.70≤</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max</m:t>
                        </m:r>
                      </m:sub>
                    </m:sSub>
                    <m:r>
                      <w:rPr>
                        <w:rFonts w:ascii="Cambria Math" w:hAnsi="Cambria Math"/>
                        <w:sz w:val="24"/>
                        <w:szCs w:val="24"/>
                      </w:rPr>
                      <m:t>&lt;0.80</m:t>
                    </m:r>
                  </m:e>
                </m:mr>
                <m:mr>
                  <m:e>
                    <m:r>
                      <m:rPr>
                        <m:nor/>
                      </m:rPr>
                      <w:rPr>
                        <w:sz w:val="24"/>
                        <w:szCs w:val="24"/>
                      </w:rPr>
                      <m:t>Rejected</m:t>
                    </m:r>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max</m:t>
                        </m:r>
                      </m:sub>
                    </m:sSub>
                    <m:r>
                      <w:rPr>
                        <w:rFonts w:ascii="Cambria Math" w:hAnsi="Cambria Math"/>
                        <w:sz w:val="24"/>
                        <w:szCs w:val="24"/>
                      </w:rPr>
                      <m:t>&lt;0.70</m:t>
                    </m:r>
                  </m:e>
                </m:mr>
              </m:m>
            </m:e>
          </m:d>
          <m:r>
            <m:rPr>
              <m:sty m:val="p"/>
            </m:rPr>
            <w:rPr>
              <w:sz w:val="24"/>
              <w:szCs w:val="24"/>
            </w:rPr>
            <w:br/>
          </m:r>
        </m:oMath>
      </m:oMathPara>
    </w:p>
    <w:p w14:paraId="051F30BE" w14:textId="77777777" w:rsidR="00956AE8" w:rsidRPr="001E4444" w:rsidRDefault="00956AE8" w:rsidP="00956AE8">
      <w:pPr>
        <w:rPr>
          <w:b/>
          <w:bCs/>
          <w:sz w:val="24"/>
          <w:szCs w:val="24"/>
        </w:rPr>
      </w:pPr>
      <w:r w:rsidRPr="001E4444">
        <w:rPr>
          <w:b/>
          <w:bCs/>
          <w:sz w:val="24"/>
          <w:szCs w:val="24"/>
        </w:rPr>
        <w:t>2.5 Node-to-Node Networking and Cross-Verification</w:t>
      </w:r>
    </w:p>
    <w:p w14:paraId="3717A864" w14:textId="77777777" w:rsidR="00BE32FA" w:rsidRDefault="00BE32FA" w:rsidP="00956AE8">
      <w:pPr>
        <w:rPr>
          <w:sz w:val="24"/>
          <w:szCs w:val="24"/>
        </w:rPr>
      </w:pPr>
      <w:r w:rsidRPr="00BE32FA">
        <w:rPr>
          <w:sz w:val="24"/>
          <w:szCs w:val="24"/>
        </w:rPr>
        <w:t xml:space="preserve">Neighbouring nodes cooperate to cross-verify detections using short-range sub-GHz LoRa communication (868/915 MHz). Lightweight peer-to-peer mode allows local verification and operation without requiring a gateway. If a detection occurs with intermediate confidence (0.70 ≤ C &lt; 0.80), a concise verification request is broadcast to neighbours. Neighbours query their recent PIR and thermal activity within a temporal window, </w:t>
      </w:r>
    </w:p>
    <w:p w14:paraId="2AE693B2" w14:textId="7BE84AB1" w:rsidR="00BE32FA" w:rsidRDefault="00BE32FA" w:rsidP="00BE32FA">
      <w:pPr>
        <w:jc w:val="center"/>
        <w:rPr>
          <w:sz w:val="24"/>
          <w:szCs w:val="24"/>
        </w:rPr>
      </w:pPr>
      <w:r w:rsidRPr="00BE32FA">
        <w:rPr>
          <w:sz w:val="24"/>
          <w:szCs w:val="24"/>
        </w:rPr>
        <w:t>|</w:t>
      </w:r>
      <w:proofErr w:type="spellStart"/>
      <w:r w:rsidRPr="00BE32FA">
        <w:rPr>
          <w:sz w:val="24"/>
          <w:szCs w:val="24"/>
        </w:rPr>
        <w:t>t</w:t>
      </w:r>
      <w:r>
        <w:rPr>
          <w:sz w:val="24"/>
          <w:szCs w:val="24"/>
          <w:vertAlign w:val="subscript"/>
        </w:rPr>
        <w:t>i</w:t>
      </w:r>
      <w:r w:rsidRPr="00BE32FA">
        <w:rPr>
          <w:sz w:val="24"/>
          <w:szCs w:val="24"/>
        </w:rPr>
        <w:t>-t</w:t>
      </w:r>
      <w:r>
        <w:rPr>
          <w:sz w:val="24"/>
          <w:szCs w:val="24"/>
          <w:vertAlign w:val="subscript"/>
        </w:rPr>
        <w:t>j</w:t>
      </w:r>
      <w:proofErr w:type="spellEnd"/>
      <w:r w:rsidRPr="00BE32FA">
        <w:rPr>
          <w:sz w:val="24"/>
          <w:szCs w:val="24"/>
        </w:rPr>
        <w:t>|≤3 s</w:t>
      </w:r>
    </w:p>
    <w:p w14:paraId="5A5A1DBE" w14:textId="05550D29" w:rsidR="00BE32FA" w:rsidRDefault="00BE32FA" w:rsidP="00956AE8">
      <w:pPr>
        <w:rPr>
          <w:sz w:val="24"/>
          <w:szCs w:val="24"/>
        </w:rPr>
      </w:pPr>
      <w:r w:rsidRPr="00BE32FA">
        <w:rPr>
          <w:sz w:val="24"/>
          <w:szCs w:val="24"/>
        </w:rPr>
        <w:t xml:space="preserve"> and return correlated triggers. If a neighbour correlates the detection, the event is considered an intrusion. This distributed cross-verification approach provides a compromise between false positives and communication/power consumption.</w:t>
      </w:r>
    </w:p>
    <w:p w14:paraId="71A58201" w14:textId="2E930CAD" w:rsidR="00956AE8" w:rsidRPr="001E4444" w:rsidRDefault="00956AE8" w:rsidP="00956AE8">
      <w:pPr>
        <w:rPr>
          <w:b/>
          <w:bCs/>
          <w:sz w:val="24"/>
          <w:szCs w:val="24"/>
        </w:rPr>
      </w:pPr>
      <w:r w:rsidRPr="001E4444">
        <w:rPr>
          <w:b/>
          <w:bCs/>
          <w:sz w:val="24"/>
          <w:szCs w:val="24"/>
        </w:rPr>
        <w:t>2.6 Communication, Reliability, and System Management</w:t>
      </w:r>
    </w:p>
    <w:p w14:paraId="4CC80901" w14:textId="5D92CF5C" w:rsidR="00956AE8" w:rsidRPr="00956AE8" w:rsidRDefault="00755595" w:rsidP="00755595">
      <w:pPr>
        <w:rPr>
          <w:sz w:val="24"/>
          <w:szCs w:val="24"/>
        </w:rPr>
      </w:pPr>
      <w:r w:rsidRPr="00755595">
        <w:rPr>
          <w:sz w:val="24"/>
          <w:szCs w:val="24"/>
        </w:rPr>
        <w:t xml:space="preserve">Intrusion alerts are sent on </w:t>
      </w:r>
      <w:proofErr w:type="spellStart"/>
      <w:r w:rsidRPr="00755595">
        <w:rPr>
          <w:sz w:val="24"/>
          <w:szCs w:val="24"/>
        </w:rPr>
        <w:t>LoRaWAN</w:t>
      </w:r>
      <w:proofErr w:type="spellEnd"/>
      <w:r w:rsidRPr="00755595">
        <w:rPr>
          <w:sz w:val="24"/>
          <w:szCs w:val="24"/>
        </w:rPr>
        <w:t xml:space="preserve"> Class A uplinks in the 868/915 MHz band. Each alert packet contains minimal metadata (node id, timestamp, class name, confidence score) and is encrypted using AES-128 at the </w:t>
      </w:r>
      <w:proofErr w:type="spellStart"/>
      <w:r w:rsidRPr="00755595">
        <w:rPr>
          <w:sz w:val="24"/>
          <w:szCs w:val="24"/>
        </w:rPr>
        <w:t>LoRaWAN</w:t>
      </w:r>
      <w:proofErr w:type="spellEnd"/>
      <w:r w:rsidRPr="00755595">
        <w:rPr>
          <w:sz w:val="24"/>
          <w:szCs w:val="24"/>
        </w:rPr>
        <w:t xml:space="preserve"> MAC layer. Received uplinks are sent by the gateway to the backend on MQTT over TLS. To cope with unreliable connectivity, nodes buffer detection events locally and retransmit them once connectivity is reestablished. Periodic status uplinks are sent with key health metrics such as battery voltage and link quality to detect and remotely fix issues. Power consumption is minimised by duty-cycling that reduces activity during low-risk intervals, and is battery-aware. Secure </w:t>
      </w:r>
      <w:r>
        <w:rPr>
          <w:sz w:val="24"/>
          <w:szCs w:val="24"/>
        </w:rPr>
        <w:t>over-the-time</w:t>
      </w:r>
      <w:r w:rsidRPr="00755595">
        <w:rPr>
          <w:sz w:val="24"/>
          <w:szCs w:val="24"/>
        </w:rPr>
        <w:t xml:space="preserve"> updates make remote maintenance of firmware and model possible.</w:t>
      </w:r>
    </w:p>
    <w:sectPr w:rsidR="00956AE8" w:rsidRPr="00956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26"/>
    <w:rsid w:val="001E4444"/>
    <w:rsid w:val="0034783A"/>
    <w:rsid w:val="003C7A26"/>
    <w:rsid w:val="00682C77"/>
    <w:rsid w:val="00755595"/>
    <w:rsid w:val="00956AE8"/>
    <w:rsid w:val="00A94325"/>
    <w:rsid w:val="00AD5F73"/>
    <w:rsid w:val="00BD4D65"/>
    <w:rsid w:val="00BE32FA"/>
    <w:rsid w:val="00D21282"/>
    <w:rsid w:val="00DA1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6C7B"/>
  <w15:chartTrackingRefBased/>
  <w15:docId w15:val="{77872DE6-72E6-4EA9-BCA9-2C452312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AE8"/>
  </w:style>
  <w:style w:type="paragraph" w:styleId="Heading1">
    <w:name w:val="heading 1"/>
    <w:basedOn w:val="Normal"/>
    <w:next w:val="Normal"/>
    <w:link w:val="Heading1Char"/>
    <w:uiPriority w:val="9"/>
    <w:qFormat/>
    <w:rsid w:val="003C7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A26"/>
    <w:rPr>
      <w:rFonts w:eastAsiaTheme="majorEastAsia" w:cstheme="majorBidi"/>
      <w:color w:val="272727" w:themeColor="text1" w:themeTint="D8"/>
    </w:rPr>
  </w:style>
  <w:style w:type="paragraph" w:styleId="Title">
    <w:name w:val="Title"/>
    <w:basedOn w:val="Normal"/>
    <w:next w:val="Normal"/>
    <w:link w:val="TitleChar"/>
    <w:uiPriority w:val="10"/>
    <w:qFormat/>
    <w:rsid w:val="003C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A26"/>
    <w:pPr>
      <w:spacing w:before="160"/>
      <w:jc w:val="center"/>
    </w:pPr>
    <w:rPr>
      <w:i/>
      <w:iCs/>
      <w:color w:val="404040" w:themeColor="text1" w:themeTint="BF"/>
    </w:rPr>
  </w:style>
  <w:style w:type="character" w:customStyle="1" w:styleId="QuoteChar">
    <w:name w:val="Quote Char"/>
    <w:basedOn w:val="DefaultParagraphFont"/>
    <w:link w:val="Quote"/>
    <w:uiPriority w:val="29"/>
    <w:rsid w:val="003C7A26"/>
    <w:rPr>
      <w:i/>
      <w:iCs/>
      <w:color w:val="404040" w:themeColor="text1" w:themeTint="BF"/>
    </w:rPr>
  </w:style>
  <w:style w:type="paragraph" w:styleId="ListParagraph">
    <w:name w:val="List Paragraph"/>
    <w:basedOn w:val="Normal"/>
    <w:uiPriority w:val="34"/>
    <w:qFormat/>
    <w:rsid w:val="003C7A26"/>
    <w:pPr>
      <w:ind w:left="720"/>
      <w:contextualSpacing/>
    </w:pPr>
  </w:style>
  <w:style w:type="character" w:styleId="IntenseEmphasis">
    <w:name w:val="Intense Emphasis"/>
    <w:basedOn w:val="DefaultParagraphFont"/>
    <w:uiPriority w:val="21"/>
    <w:qFormat/>
    <w:rsid w:val="003C7A26"/>
    <w:rPr>
      <w:i/>
      <w:iCs/>
      <w:color w:val="2F5496" w:themeColor="accent1" w:themeShade="BF"/>
    </w:rPr>
  </w:style>
  <w:style w:type="paragraph" w:styleId="IntenseQuote">
    <w:name w:val="Intense Quote"/>
    <w:basedOn w:val="Normal"/>
    <w:next w:val="Normal"/>
    <w:link w:val="IntenseQuoteChar"/>
    <w:uiPriority w:val="30"/>
    <w:qFormat/>
    <w:rsid w:val="003C7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A26"/>
    <w:rPr>
      <w:i/>
      <w:iCs/>
      <w:color w:val="2F5496" w:themeColor="accent1" w:themeShade="BF"/>
    </w:rPr>
  </w:style>
  <w:style w:type="character" w:styleId="IntenseReference">
    <w:name w:val="Intense Reference"/>
    <w:basedOn w:val="DefaultParagraphFont"/>
    <w:uiPriority w:val="32"/>
    <w:qFormat/>
    <w:rsid w:val="003C7A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Meaghaa S</dc:creator>
  <cp:keywords/>
  <dc:description/>
  <cp:lastModifiedBy>Meaghaa S</cp:lastModifiedBy>
  <cp:revision>4</cp:revision>
  <dcterms:created xsi:type="dcterms:W3CDTF">2026-02-02T16:05:00Z</dcterms:created>
  <dcterms:modified xsi:type="dcterms:W3CDTF">2026-02-02T17:36:00Z</dcterms:modified>
</cp:coreProperties>
</file>