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5030B" w14:textId="77777777" w:rsidR="0069389A" w:rsidRPr="00CE69BE" w:rsidRDefault="0069389A" w:rsidP="0069389A">
      <w:r w:rsidRPr="00CE69BE">
        <w:t>Layer 3: Non-Lethal Response &amp; Deterrence</w:t>
      </w:r>
    </w:p>
    <w:p w14:paraId="2E427352" w14:textId="77777777" w:rsidR="0069389A" w:rsidRPr="00CE69BE" w:rsidRDefault="0069389A" w:rsidP="0069389A">
      <w:r w:rsidRPr="00CE69BE">
        <w:t xml:space="preserve">After Layer 2 provides high-confidence incursion confirmation (≥0.80 confidence score post-cross-verification), this layer implements localized, humane deterrence. It minimizes power consumption and habituation risk while using tiered, event-driven actuation to shock and deter wild boars without causing harm. The ESP32-CAM has GPIO-controlled activation that uses adaptive patterns and brief bursts. Correlation with earlier layers: only activates following edge AI categorization and cascaded sensing fusion; LoRa P2P allows synchronized multi-node reaction (e.g., </w:t>
      </w:r>
      <w:proofErr w:type="spellStart"/>
      <w:r w:rsidRPr="00CE69BE">
        <w:t>neighboring</w:t>
      </w:r>
      <w:proofErr w:type="spellEnd"/>
      <w:r w:rsidRPr="00CE69BE">
        <w:t xml:space="preserve"> nodes activate together for stronger effect in overlapping FOVs). Low average power, solar compatibility, and non-lethal compliance for Tamil Nadu agricultural contexts are all qualities that </w:t>
      </w:r>
      <w:proofErr w:type="spellStart"/>
      <w:r w:rsidRPr="00CE69BE">
        <w:t>favor</w:t>
      </w:r>
      <w:proofErr w:type="spellEnd"/>
      <w:r w:rsidRPr="00CE69BE">
        <w:t xml:space="preserve"> rural viability.</w:t>
      </w:r>
    </w:p>
    <w:p w14:paraId="464EDEB7" w14:textId="77777777" w:rsidR="0069389A" w:rsidRPr="00CE69BE" w:rsidRDefault="0069389A" w:rsidP="0069389A">
      <w:pPr>
        <w:rPr>
          <w:b/>
          <w:bCs/>
        </w:rPr>
      </w:pPr>
      <w:r w:rsidRPr="00CE69BE">
        <w:rPr>
          <w:b/>
          <w:bCs/>
        </w:rPr>
        <w:t>Tiered Deterrence Model</w:t>
      </w:r>
    </w:p>
    <w:p w14:paraId="5AC2E8B9" w14:textId="77777777" w:rsidR="0069389A" w:rsidRDefault="0069389A" w:rsidP="0069389A">
      <w:r w:rsidRPr="00157F06">
        <w:t xml:space="preserve"> Level 1 (&lt;200 </w:t>
      </w:r>
      <w:proofErr w:type="spellStart"/>
      <w:r w:rsidRPr="00157F06">
        <w:t>ms</w:t>
      </w:r>
      <w:proofErr w:type="spellEnd"/>
      <w:r w:rsidRPr="00157F06">
        <w:t>): IR floodlight (850 nm, 3–5 W) + siren (100–110 dB, 1–3 s).</w:t>
      </w:r>
    </w:p>
    <w:p w14:paraId="0266DDAC" w14:textId="77777777" w:rsidR="0069389A" w:rsidRDefault="0069389A" w:rsidP="0069389A">
      <w:r w:rsidRPr="00157F06">
        <w:t xml:space="preserve"> Level 2 (re-detection &lt;60 s): Ultrasonic (25–35 kHz swept) + strobe (5–10 Hz).</w:t>
      </w:r>
    </w:p>
    <w:p w14:paraId="3F52C881" w14:textId="77777777" w:rsidR="0069389A" w:rsidRDefault="0069389A" w:rsidP="0069389A">
      <w:r w:rsidRPr="00157F06">
        <w:t xml:space="preserve"> Level 3: LoRaWAN alerts for manual intervention.</w:t>
      </w:r>
    </w:p>
    <w:p w14:paraId="65E2DF78" w14:textId="77777777" w:rsidR="0069389A" w:rsidRPr="00157F06" w:rsidRDefault="0069389A" w:rsidP="0069389A">
      <w:pPr>
        <w:rPr>
          <w:b/>
          <w:bCs/>
        </w:rPr>
      </w:pPr>
      <w:r w:rsidRPr="00157F06">
        <w:rPr>
          <w:b/>
          <w:bCs/>
        </w:rPr>
        <w:t>Hardware &amp; Power Budge</w:t>
      </w:r>
    </w:p>
    <w:p w14:paraId="4BA3F0EF" w14:textId="77777777" w:rsidR="0069389A" w:rsidRPr="00157F06" w:rsidRDefault="0069389A" w:rsidP="0069389A">
      <w:r w:rsidRPr="00157F06">
        <w:t>The MOSFET-switched infrared floodlight uses 120–200 mA for a maximum of 10 seconds each time it is turned on. The siren uses brief bursts of peak currents between 50 and 100 mA. While the LEDs use 10–20 mA when flashing randomly, the ultrasonic module uses about 20–40 mA when operating at a sweeping frequency. The system stays well below the bounds needed for dependable solar operation in Tamil Nadu farm circumstances with less than five events per day and deep slumber in between activations.</w:t>
      </w:r>
    </w:p>
    <w:p w14:paraId="6B5EE1B4" w14:textId="77777777" w:rsidR="0069389A" w:rsidRPr="00157F06" w:rsidRDefault="0069389A" w:rsidP="0069389A">
      <w:pPr>
        <w:rPr>
          <w:b/>
          <w:bCs/>
        </w:rPr>
      </w:pPr>
      <w:r w:rsidRPr="00157F06">
        <w:rPr>
          <w:b/>
          <w:bCs/>
        </w:rPr>
        <w:t>Habituation Mitigation &amp; Effectiveness</w:t>
      </w:r>
    </w:p>
    <w:p w14:paraId="3205B146" w14:textId="77777777" w:rsidR="0069389A" w:rsidRPr="005023A0" w:rsidRDefault="0069389A" w:rsidP="0069389A">
      <w:r w:rsidRPr="005023A0">
        <w:t xml:space="preserve">To lessen </w:t>
      </w:r>
      <w:proofErr w:type="spellStart"/>
      <w:r w:rsidRPr="005023A0">
        <w:t>behavioral</w:t>
      </w:r>
      <w:proofErr w:type="spellEnd"/>
      <w:r w:rsidRPr="005023A0">
        <w:t xml:space="preserve"> adaption, randomized activation patterns, frequency sweeps, and LoRa-synchronized bursts across two to four nodes are employed. Field evidence reveals that combined light and sound accomplish 60–85% short-term repulsion, while solar blinkers stay effective for just around 25–32 days in cornfield experiments before habituation starts. As an additional technique, ultrasonics are uncomfortable in the 20–50 kHz range but quickly lose their potency with repeated exposure. OTA-updatable actuation designs can further enhance multi-sensory deterrence, which generally outperforms single-modality techniques.</w:t>
      </w:r>
    </w:p>
    <w:p w14:paraId="1F6EA013" w14:textId="77777777" w:rsidR="0069389A" w:rsidRPr="005023A0" w:rsidRDefault="0069389A" w:rsidP="0069389A">
      <w:pPr>
        <w:rPr>
          <w:b/>
          <w:bCs/>
        </w:rPr>
      </w:pPr>
      <w:r w:rsidRPr="005023A0">
        <w:rPr>
          <w:b/>
          <w:bCs/>
        </w:rPr>
        <w:t>Control, Safety &amp; Integration</w:t>
      </w:r>
    </w:p>
    <w:p w14:paraId="71FFC3FA" w14:textId="77777777" w:rsidR="0069389A" w:rsidRPr="005023A0" w:rsidRDefault="0069389A" w:rsidP="0069389A">
      <w:r w:rsidRPr="005023A0">
        <w:t xml:space="preserve">The actuation sequence—light, siren, ultrasonic sweep, and strobe—is activated in that order after Layer 2 uses non-maximum suppression (NMS) to confirm detection. After the response, the system rechecks the sensor and logs and </w:t>
      </w:r>
      <w:proofErr w:type="spellStart"/>
      <w:r w:rsidRPr="005023A0">
        <w:t>analyzes</w:t>
      </w:r>
      <w:proofErr w:type="spellEnd"/>
      <w:r w:rsidRPr="005023A0">
        <w:t xml:space="preserve"> the event data in SPIFFS/NVS. When the battery level drops below 20%, all actuation is turned off as a precaution. The design stays humane, provides over-current protection, allows calibration using the mobile application, and completes the end-to-end edge processing pipeline.</w:t>
      </w:r>
    </w:p>
    <w:p w14:paraId="7C0E4E2B" w14:textId="77777777" w:rsidR="0069389A" w:rsidRDefault="0069389A" w:rsidP="0069389A">
      <w:r>
        <w:lastRenderedPageBreak/>
        <w:t>T</w:t>
      </w:r>
      <w:r w:rsidRPr="005023A0">
        <w:t>he pipeline with efficient, habituation-resistant deterrence, achieving 60–85% repulsion efficacy via multi-sensory coordination on low-power ESP32 hardware—ideal for sustainable Tamil Nadu farmland protection.</w:t>
      </w:r>
    </w:p>
    <w:p w14:paraId="15DDC3C9" w14:textId="77777777" w:rsidR="0069389A" w:rsidRPr="0069389A" w:rsidRDefault="0069389A" w:rsidP="0069389A"/>
    <w:sectPr w:rsidR="0069389A" w:rsidRPr="006938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89A"/>
    <w:rsid w:val="00681CF0"/>
    <w:rsid w:val="006938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D4DEB"/>
  <w15:chartTrackingRefBased/>
  <w15:docId w15:val="{4593223F-8394-4A95-9EEF-CED52997B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89A"/>
  </w:style>
  <w:style w:type="paragraph" w:styleId="Heading1">
    <w:name w:val="heading 1"/>
    <w:basedOn w:val="Normal"/>
    <w:next w:val="Normal"/>
    <w:link w:val="Heading1Char"/>
    <w:uiPriority w:val="9"/>
    <w:qFormat/>
    <w:rsid w:val="006938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38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38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38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38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38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8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8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8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8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38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38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38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38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38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8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8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89A"/>
    <w:rPr>
      <w:rFonts w:eastAsiaTheme="majorEastAsia" w:cstheme="majorBidi"/>
      <w:color w:val="272727" w:themeColor="text1" w:themeTint="D8"/>
    </w:rPr>
  </w:style>
  <w:style w:type="paragraph" w:styleId="Title">
    <w:name w:val="Title"/>
    <w:basedOn w:val="Normal"/>
    <w:next w:val="Normal"/>
    <w:link w:val="TitleChar"/>
    <w:uiPriority w:val="10"/>
    <w:qFormat/>
    <w:rsid w:val="00693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8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8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8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89A"/>
    <w:pPr>
      <w:spacing w:before="160"/>
      <w:jc w:val="center"/>
    </w:pPr>
    <w:rPr>
      <w:i/>
      <w:iCs/>
      <w:color w:val="404040" w:themeColor="text1" w:themeTint="BF"/>
    </w:rPr>
  </w:style>
  <w:style w:type="character" w:customStyle="1" w:styleId="QuoteChar">
    <w:name w:val="Quote Char"/>
    <w:basedOn w:val="DefaultParagraphFont"/>
    <w:link w:val="Quote"/>
    <w:uiPriority w:val="29"/>
    <w:rsid w:val="0069389A"/>
    <w:rPr>
      <w:i/>
      <w:iCs/>
      <w:color w:val="404040" w:themeColor="text1" w:themeTint="BF"/>
    </w:rPr>
  </w:style>
  <w:style w:type="paragraph" w:styleId="ListParagraph">
    <w:name w:val="List Paragraph"/>
    <w:basedOn w:val="Normal"/>
    <w:uiPriority w:val="34"/>
    <w:qFormat/>
    <w:rsid w:val="0069389A"/>
    <w:pPr>
      <w:ind w:left="720"/>
      <w:contextualSpacing/>
    </w:pPr>
  </w:style>
  <w:style w:type="character" w:styleId="IntenseEmphasis">
    <w:name w:val="Intense Emphasis"/>
    <w:basedOn w:val="DefaultParagraphFont"/>
    <w:uiPriority w:val="21"/>
    <w:qFormat/>
    <w:rsid w:val="0069389A"/>
    <w:rPr>
      <w:i/>
      <w:iCs/>
      <w:color w:val="2F5496" w:themeColor="accent1" w:themeShade="BF"/>
    </w:rPr>
  </w:style>
  <w:style w:type="paragraph" w:styleId="IntenseQuote">
    <w:name w:val="Intense Quote"/>
    <w:basedOn w:val="Normal"/>
    <w:next w:val="Normal"/>
    <w:link w:val="IntenseQuoteChar"/>
    <w:uiPriority w:val="30"/>
    <w:qFormat/>
    <w:rsid w:val="006938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389A"/>
    <w:rPr>
      <w:i/>
      <w:iCs/>
      <w:color w:val="2F5496" w:themeColor="accent1" w:themeShade="BF"/>
    </w:rPr>
  </w:style>
  <w:style w:type="character" w:styleId="IntenseReference">
    <w:name w:val="Intense Reference"/>
    <w:basedOn w:val="DefaultParagraphFont"/>
    <w:uiPriority w:val="32"/>
    <w:qFormat/>
    <w:rsid w:val="006938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2566</Characters>
  <Application>Microsoft Office Word</Application>
  <DocSecurity>0</DocSecurity>
  <Lines>21</Lines>
  <Paragraphs>6</Paragraphs>
  <ScaleCrop>false</ScaleCrop>
  <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viveknumburi@outlook.com</dc:creator>
  <cp:keywords/>
  <dc:description/>
  <cp:lastModifiedBy>viveknumburi@outlook.com</cp:lastModifiedBy>
  <cp:revision>1</cp:revision>
  <dcterms:created xsi:type="dcterms:W3CDTF">2026-02-02T16:48:00Z</dcterms:created>
  <dcterms:modified xsi:type="dcterms:W3CDTF">2026-02-02T16:48:00Z</dcterms:modified>
</cp:coreProperties>
</file>