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AF" w:rsidRDefault="00D8490A">
      <w:pPr>
        <w:jc w:val="center"/>
      </w:pPr>
      <w:r>
        <w:rPr>
          <w:noProof/>
        </w:rPr>
        <w:drawing>
          <wp:inline distT="114300" distB="114300" distL="114300" distR="114300">
            <wp:extent cx="5605463" cy="875853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605463" cy="8758535"/>
                    </a:xfrm>
                    <a:prstGeom prst="rect">
                      <a:avLst/>
                    </a:prstGeom>
                    <a:ln/>
                  </pic:spPr>
                </pic:pic>
              </a:graphicData>
            </a:graphic>
          </wp:inline>
        </w:drawing>
      </w:r>
    </w:p>
    <w:p w:rsidR="00CA31AF" w:rsidRDefault="00CA31AF">
      <w:pPr>
        <w:jc w:val="center"/>
      </w:pPr>
    </w:p>
    <w:tbl>
      <w:tblPr>
        <w:tblStyle w:val="ae"/>
        <w:tblW w:w="110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3540"/>
        <w:gridCol w:w="1215"/>
        <w:gridCol w:w="1830"/>
        <w:gridCol w:w="1680"/>
        <w:gridCol w:w="1410"/>
      </w:tblGrid>
      <w:tr w:rsidR="00CA31AF">
        <w:tc>
          <w:tcPr>
            <w:tcW w:w="1350" w:type="dxa"/>
            <w:shd w:val="clear" w:color="auto" w:fill="D9D9D9"/>
            <w:vAlign w:val="center"/>
          </w:tcPr>
          <w:p w:rsidR="00CA31AF" w:rsidRDefault="00D8490A">
            <w:pPr>
              <w:jc w:val="center"/>
              <w:rPr>
                <w:b/>
              </w:rPr>
            </w:pPr>
            <w:r>
              <w:rPr>
                <w:b/>
              </w:rPr>
              <w:t>PROYECTO</w:t>
            </w:r>
          </w:p>
        </w:tc>
        <w:tc>
          <w:tcPr>
            <w:tcW w:w="3540" w:type="dxa"/>
            <w:vAlign w:val="center"/>
          </w:tcPr>
          <w:p w:rsidR="00CA31AF" w:rsidRDefault="00D8490A">
            <w:pPr>
              <w:jc w:val="center"/>
              <w:rPr>
                <w:b/>
                <w:color w:val="0070C0"/>
              </w:rPr>
            </w:pPr>
            <w:proofErr w:type="spellStart"/>
            <w:r>
              <w:rPr>
                <w:b/>
                <w:color w:val="0070C0"/>
              </w:rPr>
              <w:t>CityScape</w:t>
            </w:r>
            <w:proofErr w:type="spellEnd"/>
            <w:r>
              <w:rPr>
                <w:b/>
                <w:color w:val="0070C0"/>
              </w:rPr>
              <w:t xml:space="preserve"> </w:t>
            </w:r>
            <w:proofErr w:type="spellStart"/>
            <w:r>
              <w:rPr>
                <w:b/>
                <w:color w:val="0070C0"/>
              </w:rPr>
              <w:t>Rentals</w:t>
            </w:r>
            <w:proofErr w:type="spellEnd"/>
          </w:p>
          <w:p w:rsidR="00CA31AF" w:rsidRDefault="00CA31AF">
            <w:pPr>
              <w:jc w:val="center"/>
              <w:rPr>
                <w:b/>
              </w:rPr>
            </w:pPr>
          </w:p>
        </w:tc>
        <w:tc>
          <w:tcPr>
            <w:tcW w:w="1215" w:type="dxa"/>
            <w:shd w:val="clear" w:color="auto" w:fill="D9D9D9"/>
            <w:vAlign w:val="center"/>
          </w:tcPr>
          <w:p w:rsidR="00CA31AF" w:rsidRDefault="00D8490A">
            <w:pPr>
              <w:jc w:val="center"/>
              <w:rPr>
                <w:b/>
              </w:rPr>
            </w:pPr>
            <w:r>
              <w:rPr>
                <w:b/>
              </w:rPr>
              <w:t>CÓDIGO DE PROYECTO</w:t>
            </w:r>
          </w:p>
        </w:tc>
        <w:tc>
          <w:tcPr>
            <w:tcW w:w="1830" w:type="dxa"/>
            <w:vAlign w:val="center"/>
          </w:tcPr>
          <w:p w:rsidR="00CA31AF" w:rsidRDefault="00D8490A">
            <w:pPr>
              <w:jc w:val="center"/>
              <w:rPr>
                <w:b/>
                <w:color w:val="0070C0"/>
              </w:rPr>
            </w:pPr>
            <w:r>
              <w:rPr>
                <w:b/>
                <w:color w:val="0070C0"/>
              </w:rPr>
              <w:t>2024-G3-010</w:t>
            </w:r>
          </w:p>
        </w:tc>
        <w:tc>
          <w:tcPr>
            <w:tcW w:w="1680" w:type="dxa"/>
            <w:shd w:val="clear" w:color="auto" w:fill="D9D9D9"/>
            <w:vAlign w:val="center"/>
          </w:tcPr>
          <w:p w:rsidR="00CA31AF" w:rsidRDefault="00D8490A">
            <w:pPr>
              <w:jc w:val="center"/>
              <w:rPr>
                <w:b/>
              </w:rPr>
            </w:pPr>
            <w:r>
              <w:rPr>
                <w:b/>
              </w:rPr>
              <w:t>FECHA DE ELABORACIÓN</w:t>
            </w:r>
          </w:p>
        </w:tc>
        <w:tc>
          <w:tcPr>
            <w:tcW w:w="1410" w:type="dxa"/>
            <w:vAlign w:val="center"/>
          </w:tcPr>
          <w:p w:rsidR="00CA31AF" w:rsidRDefault="00D8490A">
            <w:pPr>
              <w:jc w:val="center"/>
              <w:rPr>
                <w:b/>
                <w:color w:val="0070C0"/>
              </w:rPr>
            </w:pPr>
            <w:r>
              <w:rPr>
                <w:b/>
                <w:color w:val="0070C0"/>
              </w:rPr>
              <w:t>29/10/2024</w:t>
            </w:r>
          </w:p>
        </w:tc>
      </w:tr>
    </w:tbl>
    <w:p w:rsidR="00CA31AF" w:rsidRDefault="00CA31AF"/>
    <w:p w:rsidR="00CA31AF" w:rsidRDefault="00D8490A">
      <w:pPr>
        <w:shd w:val="clear" w:color="auto" w:fill="D9D9D9"/>
        <w:rPr>
          <w:b/>
        </w:rPr>
      </w:pPr>
      <w:proofErr w:type="gramStart"/>
      <w:r>
        <w:rPr>
          <w:b/>
        </w:rPr>
        <w:t>NORMAS Y PROCEDIMIENTOS A APLICAR</w:t>
      </w:r>
      <w:proofErr w:type="gramEnd"/>
      <w:r>
        <w:rPr>
          <w:b/>
        </w:rPr>
        <w:t xml:space="preserve"> (FAE)</w:t>
      </w:r>
    </w:p>
    <w:tbl>
      <w:tblPr>
        <w:tblStyle w:val="af"/>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CA31AF">
        <w:tc>
          <w:tcPr>
            <w:tcW w:w="11016" w:type="dxa"/>
          </w:tcPr>
          <w:p w:rsidR="00CA31AF" w:rsidRDefault="00D8490A">
            <w:pPr>
              <w:spacing w:before="180" w:after="180"/>
              <w:rPr>
                <w:color w:val="0070C0"/>
              </w:rPr>
            </w:pPr>
            <w:r>
              <w:rPr>
                <w:color w:val="0070C0"/>
              </w:rPr>
              <w:t xml:space="preserve">Para la gestión de adquisiciones en el proyecto </w:t>
            </w:r>
            <w:proofErr w:type="spellStart"/>
            <w:r>
              <w:rPr>
                <w:color w:val="0070C0"/>
              </w:rPr>
              <w:t>CityScape</w:t>
            </w:r>
            <w:proofErr w:type="spellEnd"/>
            <w:r>
              <w:rPr>
                <w:color w:val="0070C0"/>
              </w:rPr>
              <w:t xml:space="preserve"> </w:t>
            </w:r>
            <w:proofErr w:type="spellStart"/>
            <w:r>
              <w:rPr>
                <w:color w:val="0070C0"/>
              </w:rPr>
              <w:t>Rentals</w:t>
            </w:r>
            <w:proofErr w:type="spellEnd"/>
            <w:r>
              <w:rPr>
                <w:color w:val="0070C0"/>
              </w:rPr>
              <w:t>, se aplicarán normas y procedimientos rigurosos basados en estándares internacionales y mejores prácticas. Estos incluyen:</w:t>
            </w:r>
          </w:p>
          <w:p w:rsidR="00CA31AF" w:rsidRDefault="00D8490A">
            <w:pPr>
              <w:numPr>
                <w:ilvl w:val="0"/>
                <w:numId w:val="2"/>
              </w:numPr>
              <w:spacing w:before="180"/>
              <w:rPr>
                <w:color w:val="0070C0"/>
              </w:rPr>
            </w:pPr>
            <w:r>
              <w:rPr>
                <w:b/>
                <w:color w:val="0070C0"/>
              </w:rPr>
              <w:t xml:space="preserve">PMBOK (Project Management </w:t>
            </w:r>
            <w:proofErr w:type="spellStart"/>
            <w:r>
              <w:rPr>
                <w:b/>
                <w:color w:val="0070C0"/>
              </w:rPr>
              <w:t>Body</w:t>
            </w:r>
            <w:proofErr w:type="spellEnd"/>
            <w:r>
              <w:rPr>
                <w:b/>
                <w:color w:val="0070C0"/>
              </w:rPr>
              <w:t xml:space="preserve"> </w:t>
            </w:r>
            <w:proofErr w:type="spellStart"/>
            <w:r>
              <w:rPr>
                <w:b/>
                <w:color w:val="0070C0"/>
              </w:rPr>
              <w:t>of</w:t>
            </w:r>
            <w:proofErr w:type="spellEnd"/>
            <w:r>
              <w:rPr>
                <w:b/>
                <w:color w:val="0070C0"/>
              </w:rPr>
              <w:t xml:space="preserve"> </w:t>
            </w:r>
            <w:proofErr w:type="spellStart"/>
            <w:r>
              <w:rPr>
                <w:b/>
                <w:color w:val="0070C0"/>
              </w:rPr>
              <w:t>Knowledge</w:t>
            </w:r>
            <w:proofErr w:type="spellEnd"/>
            <w:r>
              <w:rPr>
                <w:b/>
                <w:color w:val="0070C0"/>
              </w:rPr>
              <w:t>)</w:t>
            </w:r>
            <w:r>
              <w:rPr>
                <w:color w:val="0070C0"/>
              </w:rPr>
              <w:t xml:space="preserve">: La metodología PMBOK </w:t>
            </w:r>
            <w:r>
              <w:rPr>
                <w:color w:val="0070C0"/>
              </w:rPr>
              <w:t>será empleada para estructurar las adquisiciones mediante una planificación meticulosa, ejecución controlada y revisiones periódicas. Esto incluye la definición de requisitos, selección de proveedores, control de contratos y cierre de adquisiciones. La apl</w:t>
            </w:r>
            <w:r>
              <w:rPr>
                <w:color w:val="0070C0"/>
              </w:rPr>
              <w:t>icación del PMBOK asegura que cada adquisición sea gestionada bajo un marco de buenas prácticas reconocido internacionalmente, minimizando riesgos y optimizando recursos.</w:t>
            </w:r>
          </w:p>
          <w:p w:rsidR="00CA31AF" w:rsidRDefault="00D8490A">
            <w:pPr>
              <w:numPr>
                <w:ilvl w:val="0"/>
                <w:numId w:val="2"/>
              </w:numPr>
              <w:rPr>
                <w:color w:val="0070C0"/>
              </w:rPr>
            </w:pPr>
            <w:r>
              <w:rPr>
                <w:b/>
                <w:color w:val="0070C0"/>
              </w:rPr>
              <w:t>Directrices Internas del Cliente</w:t>
            </w:r>
            <w:r>
              <w:rPr>
                <w:color w:val="0070C0"/>
              </w:rPr>
              <w:t>: Se tendrán en cuenta las directrices proporcionadas</w:t>
            </w:r>
            <w:r>
              <w:rPr>
                <w:color w:val="0070C0"/>
              </w:rPr>
              <w:t xml:space="preserve"> por el cliente en cuanto a diseño, funcionalidad y experiencia de usuario. Esto es esencial para que los recursos adquiridos estén alineados con las expectativas y necesidades específicas del cliente, asegurando la coherencia en la experiencia del usuario</w:t>
            </w:r>
            <w:r>
              <w:rPr>
                <w:color w:val="0070C0"/>
              </w:rPr>
              <w:t xml:space="preserve"> final.</w:t>
            </w:r>
          </w:p>
          <w:p w:rsidR="00CA31AF" w:rsidRDefault="00D8490A">
            <w:pPr>
              <w:numPr>
                <w:ilvl w:val="0"/>
                <w:numId w:val="2"/>
              </w:numPr>
              <w:rPr>
                <w:color w:val="0070C0"/>
              </w:rPr>
            </w:pPr>
            <w:r>
              <w:rPr>
                <w:b/>
                <w:color w:val="0070C0"/>
              </w:rPr>
              <w:t>Procedimientos de Control de Calidad</w:t>
            </w:r>
            <w:r>
              <w:rPr>
                <w:color w:val="0070C0"/>
              </w:rPr>
              <w:t>: Cada recurso adquirido pasará por un control de calidad exhaustivo, según los procedimientos del Plan de Gestión de Calidad del proyecto. Los recursos serán evaluados en términos de cumplimiento con los criteri</w:t>
            </w:r>
            <w:r>
              <w:rPr>
                <w:color w:val="0070C0"/>
              </w:rPr>
              <w:t>os de éxito definidos.</w:t>
            </w:r>
          </w:p>
          <w:p w:rsidR="00CA31AF" w:rsidRDefault="00D8490A">
            <w:pPr>
              <w:numPr>
                <w:ilvl w:val="0"/>
                <w:numId w:val="2"/>
              </w:numPr>
              <w:spacing w:after="180"/>
              <w:rPr>
                <w:color w:val="0070C0"/>
              </w:rPr>
            </w:pPr>
            <w:r>
              <w:rPr>
                <w:b/>
                <w:color w:val="0070C0"/>
              </w:rPr>
              <w:t>Procedimientos de Gestión de Riesgos en Adquisiciones</w:t>
            </w:r>
            <w:r>
              <w:rPr>
                <w:color w:val="0070C0"/>
              </w:rPr>
              <w:t>: Los riesgos en las adquisiciones, tales como retrasos de proveedores, sobrecostos y problemas de integración, serán gestionados de acuerdo con el Plan de Gestión de Riesgos. Se i</w:t>
            </w:r>
            <w:r>
              <w:rPr>
                <w:color w:val="0070C0"/>
              </w:rPr>
              <w:t>mplementarán medidas preventivas y contingencias para cada categoría de riesgo, especialmente en relación con proveedores y cronograma, para asegurar la viabilidad del proyecto sin interrupciones.</w:t>
            </w:r>
          </w:p>
          <w:p w:rsidR="00CA31AF" w:rsidRDefault="00CA31AF"/>
        </w:tc>
      </w:tr>
    </w:tbl>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bookmarkStart w:id="0" w:name="_GoBack"/>
      <w:bookmarkEnd w:id="0"/>
    </w:p>
    <w:p w:rsidR="00CA31AF" w:rsidRDefault="00D8490A">
      <w:pPr>
        <w:shd w:val="clear" w:color="auto" w:fill="D9D9D9"/>
        <w:rPr>
          <w:b/>
        </w:rPr>
      </w:pPr>
      <w:proofErr w:type="gramStart"/>
      <w:r>
        <w:rPr>
          <w:b/>
        </w:rPr>
        <w:t>DOCUMENTOS A UTILIZAR</w:t>
      </w:r>
      <w:proofErr w:type="gramEnd"/>
      <w:r>
        <w:rPr>
          <w:b/>
        </w:rPr>
        <w:t xml:space="preserve"> (APO)</w:t>
      </w:r>
    </w:p>
    <w:tbl>
      <w:tblPr>
        <w:tblStyle w:val="af0"/>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CA31AF">
        <w:tc>
          <w:tcPr>
            <w:tcW w:w="11016" w:type="dxa"/>
          </w:tcPr>
          <w:p w:rsidR="00CA31AF" w:rsidRDefault="00D8490A">
            <w:pPr>
              <w:spacing w:before="180" w:after="180"/>
              <w:rPr>
                <w:color w:val="0070C0"/>
              </w:rPr>
            </w:pPr>
            <w:r>
              <w:rPr>
                <w:color w:val="0070C0"/>
              </w:rPr>
              <w:t xml:space="preserve">Para gestionar y controlar las adquisiciones del proyecto </w:t>
            </w:r>
            <w:proofErr w:type="spellStart"/>
            <w:r>
              <w:rPr>
                <w:color w:val="0070C0"/>
              </w:rPr>
              <w:t>CityScape</w:t>
            </w:r>
            <w:proofErr w:type="spellEnd"/>
            <w:r>
              <w:rPr>
                <w:color w:val="0070C0"/>
              </w:rPr>
              <w:t xml:space="preserve"> </w:t>
            </w:r>
            <w:proofErr w:type="spellStart"/>
            <w:r>
              <w:rPr>
                <w:color w:val="0070C0"/>
              </w:rPr>
              <w:t>Rentals</w:t>
            </w:r>
            <w:proofErr w:type="spellEnd"/>
            <w:r>
              <w:rPr>
                <w:color w:val="0070C0"/>
              </w:rPr>
              <w:t>, se utilizarán los siguientes documentos clave, asegurando que todos los recursos se ajusten a los requerimientos específicos y cumplan con los estándares de calidad, costo y tiemp</w:t>
            </w:r>
            <w:r>
              <w:rPr>
                <w:color w:val="0070C0"/>
              </w:rPr>
              <w:t>o establecidos:</w:t>
            </w:r>
          </w:p>
          <w:p w:rsidR="00CA31AF" w:rsidRDefault="00D8490A">
            <w:pPr>
              <w:numPr>
                <w:ilvl w:val="0"/>
                <w:numId w:val="5"/>
              </w:numPr>
              <w:spacing w:before="180"/>
              <w:rPr>
                <w:color w:val="0070C0"/>
              </w:rPr>
            </w:pPr>
            <w:r>
              <w:rPr>
                <w:b/>
                <w:color w:val="0070C0"/>
              </w:rPr>
              <w:t>Enunciado del Alcance del Proyecto</w:t>
            </w:r>
            <w:r>
              <w:rPr>
                <w:color w:val="0070C0"/>
              </w:rPr>
              <w:t>: Este documento proporciona una descripción clara y detallada del alcance, entregables y exclusiones del proyecto, permitiendo que las adquisiciones estén alineadas con los objetivos y límites definidos pa</w:t>
            </w:r>
            <w:r>
              <w:rPr>
                <w:color w:val="0070C0"/>
              </w:rPr>
              <w:t>ra evitar desviaciones​.</w:t>
            </w:r>
          </w:p>
          <w:p w:rsidR="00CA31AF" w:rsidRDefault="00D8490A">
            <w:pPr>
              <w:numPr>
                <w:ilvl w:val="0"/>
                <w:numId w:val="5"/>
              </w:numPr>
              <w:rPr>
                <w:color w:val="0070C0"/>
              </w:rPr>
            </w:pPr>
            <w:r>
              <w:rPr>
                <w:b/>
                <w:color w:val="0070C0"/>
              </w:rPr>
              <w:t>Estructura de Desglose del Trabajo (EDT) y Diccionario de la EDT</w:t>
            </w:r>
            <w:r>
              <w:rPr>
                <w:color w:val="0070C0"/>
              </w:rPr>
              <w:t xml:space="preserve">: La EDT descompone el proyecto en paquetes de trabajo específicos, y el Diccionario de la EDT ofrece detalles adicionales de cada paquete. Estos documentos facilitan </w:t>
            </w:r>
            <w:r>
              <w:rPr>
                <w:color w:val="0070C0"/>
              </w:rPr>
              <w:t>la identificación de recursos necesarios para cada fase del proyecto, asegurando precisión en las especificaciones de los recursos adquiridos​.</w:t>
            </w:r>
          </w:p>
          <w:p w:rsidR="00CA31AF" w:rsidRDefault="00D8490A">
            <w:pPr>
              <w:numPr>
                <w:ilvl w:val="0"/>
                <w:numId w:val="5"/>
              </w:numPr>
              <w:rPr>
                <w:color w:val="0070C0"/>
              </w:rPr>
            </w:pPr>
            <w:r>
              <w:rPr>
                <w:b/>
                <w:color w:val="0070C0"/>
              </w:rPr>
              <w:t>Plan de Gestión de Calidad</w:t>
            </w:r>
            <w:r>
              <w:rPr>
                <w:color w:val="0070C0"/>
              </w:rPr>
              <w:t>: Define los estándares y procedimientos de calidad a los que deben adherirse las adqu</w:t>
            </w:r>
            <w:r>
              <w:rPr>
                <w:color w:val="0070C0"/>
              </w:rPr>
              <w:t>isiciones. Este documento asegura que todos los recursos adquiridos cumplan con los criterios de aceptación y las métricas de éxito.</w:t>
            </w:r>
          </w:p>
          <w:p w:rsidR="00CA31AF" w:rsidRDefault="00D8490A">
            <w:pPr>
              <w:numPr>
                <w:ilvl w:val="0"/>
                <w:numId w:val="5"/>
              </w:numPr>
              <w:rPr>
                <w:color w:val="0070C0"/>
              </w:rPr>
            </w:pPr>
            <w:r>
              <w:rPr>
                <w:b/>
                <w:color w:val="0070C0"/>
              </w:rPr>
              <w:t>Plan de Gestión de Riesgos</w:t>
            </w:r>
            <w:r>
              <w:rPr>
                <w:color w:val="0070C0"/>
              </w:rPr>
              <w:t>: Documenta los riesgos potenciales que podrían afectar las adquisiciones, especialmente aquellos</w:t>
            </w:r>
            <w:r>
              <w:rPr>
                <w:color w:val="0070C0"/>
              </w:rPr>
              <w:t xml:space="preserve"> relacionados con proveedores, costos y cronogramas. Este plan incluye estrategias de mitigación y contingencia para cada categoría de riesgo, lo cual es esencial para la toma de decisiones en caso de imprevistos​.</w:t>
            </w:r>
          </w:p>
          <w:p w:rsidR="00CA31AF" w:rsidRDefault="00D8490A">
            <w:pPr>
              <w:numPr>
                <w:ilvl w:val="0"/>
                <w:numId w:val="5"/>
              </w:numPr>
              <w:rPr>
                <w:color w:val="0070C0"/>
              </w:rPr>
            </w:pPr>
            <w:r>
              <w:rPr>
                <w:b/>
                <w:color w:val="0070C0"/>
              </w:rPr>
              <w:t>Plan de Dirección del Proyecto</w:t>
            </w:r>
            <w:r>
              <w:rPr>
                <w:color w:val="0070C0"/>
              </w:rPr>
              <w:t xml:space="preserve">: Contiene </w:t>
            </w:r>
            <w:r>
              <w:rPr>
                <w:color w:val="0070C0"/>
              </w:rPr>
              <w:t>la guía completa del proyecto, incluyendo la planificación, control y seguimiento de actividades. Este plan establece los procedimientos a seguir en cada adquisición y es una referencia para asegurar que todas las decisiones y entregas cumplen con los line</w:t>
            </w:r>
            <w:r>
              <w:rPr>
                <w:color w:val="0070C0"/>
              </w:rPr>
              <w:t>amientos del cliente y las expectativas del proyecto​.</w:t>
            </w:r>
          </w:p>
          <w:p w:rsidR="00CA31AF" w:rsidRDefault="00D8490A">
            <w:pPr>
              <w:numPr>
                <w:ilvl w:val="0"/>
                <w:numId w:val="5"/>
              </w:numPr>
              <w:spacing w:after="180"/>
              <w:rPr>
                <w:color w:val="0070C0"/>
              </w:rPr>
            </w:pPr>
            <w:r>
              <w:rPr>
                <w:b/>
                <w:color w:val="0070C0"/>
              </w:rPr>
              <w:t>Matriz de Trazabilidad de Requisitos</w:t>
            </w:r>
            <w:r>
              <w:rPr>
                <w:color w:val="0070C0"/>
              </w:rPr>
              <w:t>: Permite hacer un seguimiento de cada requisito desde su definición hasta su verificación en el producto final, asegurando que todos los recursos adquiridos están alineados con los requisitos del cliente y cumplen con las especificaciones iniciales​.</w:t>
            </w:r>
          </w:p>
        </w:tc>
      </w:tr>
    </w:tbl>
    <w:p w:rsidR="00CA31AF" w:rsidRDefault="00CA31AF"/>
    <w:p w:rsidR="00CA31AF" w:rsidRDefault="00D8490A">
      <w:pPr>
        <w:shd w:val="clear" w:color="auto" w:fill="D9D9D9"/>
        <w:rPr>
          <w:b/>
        </w:rPr>
      </w:pPr>
      <w:r>
        <w:rPr>
          <w:b/>
        </w:rPr>
        <w:t>AD</w:t>
      </w:r>
      <w:r>
        <w:rPr>
          <w:b/>
        </w:rPr>
        <w:t>QUISICIONES</w:t>
      </w:r>
    </w:p>
    <w:tbl>
      <w:tblPr>
        <w:tblStyle w:val="af1"/>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2977"/>
        <w:gridCol w:w="5946"/>
      </w:tblGrid>
      <w:tr w:rsidR="00CA31AF">
        <w:tc>
          <w:tcPr>
            <w:tcW w:w="817" w:type="dxa"/>
            <w:shd w:val="clear" w:color="auto" w:fill="D9D9D9"/>
          </w:tcPr>
          <w:p w:rsidR="00CA31AF" w:rsidRDefault="00D8490A">
            <w:pPr>
              <w:jc w:val="center"/>
              <w:rPr>
                <w:b/>
              </w:rPr>
            </w:pPr>
            <w:r>
              <w:rPr>
                <w:b/>
              </w:rPr>
              <w:t>#</w:t>
            </w:r>
          </w:p>
        </w:tc>
        <w:tc>
          <w:tcPr>
            <w:tcW w:w="1276" w:type="dxa"/>
            <w:shd w:val="clear" w:color="auto" w:fill="D9D9D9"/>
          </w:tcPr>
          <w:p w:rsidR="00CA31AF" w:rsidRDefault="00D8490A">
            <w:pPr>
              <w:jc w:val="center"/>
              <w:rPr>
                <w:b/>
              </w:rPr>
            </w:pPr>
            <w:r>
              <w:rPr>
                <w:b/>
              </w:rPr>
              <w:t>EDT #</w:t>
            </w:r>
          </w:p>
        </w:tc>
        <w:tc>
          <w:tcPr>
            <w:tcW w:w="2977" w:type="dxa"/>
            <w:shd w:val="clear" w:color="auto" w:fill="D9D9D9"/>
          </w:tcPr>
          <w:p w:rsidR="00CA31AF" w:rsidRDefault="00D8490A">
            <w:pPr>
              <w:jc w:val="center"/>
              <w:rPr>
                <w:b/>
              </w:rPr>
            </w:pPr>
            <w:r>
              <w:rPr>
                <w:b/>
              </w:rPr>
              <w:t>PAQUETE DE TRABAJO</w:t>
            </w:r>
          </w:p>
        </w:tc>
        <w:tc>
          <w:tcPr>
            <w:tcW w:w="5946" w:type="dxa"/>
            <w:shd w:val="clear" w:color="auto" w:fill="D9D9D9"/>
          </w:tcPr>
          <w:p w:rsidR="00CA31AF" w:rsidRDefault="00D8490A">
            <w:pPr>
              <w:jc w:val="center"/>
              <w:rPr>
                <w:b/>
              </w:rPr>
            </w:pPr>
            <w:r>
              <w:rPr>
                <w:b/>
              </w:rPr>
              <w:t>RECURSO</w:t>
            </w:r>
          </w:p>
        </w:tc>
      </w:tr>
      <w:tr w:rsidR="00CA31AF">
        <w:tc>
          <w:tcPr>
            <w:tcW w:w="817" w:type="dxa"/>
          </w:tcPr>
          <w:p w:rsidR="00CA31AF" w:rsidRDefault="00CA31AF">
            <w:pPr>
              <w:spacing w:before="120" w:after="120"/>
              <w:rPr>
                <w:color w:val="0070C0"/>
              </w:rPr>
            </w:pPr>
          </w:p>
        </w:tc>
        <w:tc>
          <w:tcPr>
            <w:tcW w:w="1276" w:type="dxa"/>
          </w:tcPr>
          <w:p w:rsidR="00CA31AF" w:rsidRDefault="00CA31AF">
            <w:pPr>
              <w:spacing w:before="120" w:after="120"/>
              <w:rPr>
                <w:color w:val="0070C0"/>
              </w:rPr>
            </w:pPr>
          </w:p>
        </w:tc>
        <w:tc>
          <w:tcPr>
            <w:tcW w:w="2977" w:type="dxa"/>
          </w:tcPr>
          <w:p w:rsidR="00CA31AF" w:rsidRDefault="00D8490A">
            <w:pPr>
              <w:spacing w:before="120" w:after="120"/>
              <w:rPr>
                <w:color w:val="0070C0"/>
              </w:rPr>
            </w:pPr>
            <w:r>
              <w:rPr>
                <w:color w:val="0070C0"/>
              </w:rPr>
              <w:t>#No procede</w:t>
            </w:r>
          </w:p>
        </w:tc>
        <w:tc>
          <w:tcPr>
            <w:tcW w:w="5946" w:type="dxa"/>
          </w:tcPr>
          <w:p w:rsidR="00CA31AF" w:rsidRDefault="00CA31AF">
            <w:pPr>
              <w:spacing w:before="120" w:after="120"/>
              <w:rPr>
                <w:color w:val="0070C0"/>
              </w:rPr>
            </w:pPr>
          </w:p>
        </w:tc>
      </w:tr>
      <w:tr w:rsidR="00CA31AF">
        <w:tc>
          <w:tcPr>
            <w:tcW w:w="817" w:type="dxa"/>
          </w:tcPr>
          <w:p w:rsidR="00CA31AF" w:rsidRDefault="00CA31AF">
            <w:pPr>
              <w:spacing w:before="120" w:after="120"/>
              <w:rPr>
                <w:color w:val="0070C0"/>
              </w:rPr>
            </w:pPr>
          </w:p>
        </w:tc>
        <w:tc>
          <w:tcPr>
            <w:tcW w:w="1276" w:type="dxa"/>
          </w:tcPr>
          <w:p w:rsidR="00CA31AF" w:rsidRDefault="00CA31AF">
            <w:pPr>
              <w:spacing w:before="120" w:after="120"/>
              <w:rPr>
                <w:color w:val="0070C0"/>
              </w:rPr>
            </w:pPr>
          </w:p>
        </w:tc>
        <w:tc>
          <w:tcPr>
            <w:tcW w:w="2977" w:type="dxa"/>
          </w:tcPr>
          <w:p w:rsidR="00CA31AF" w:rsidRDefault="00CA31AF">
            <w:pPr>
              <w:spacing w:before="120" w:after="120"/>
              <w:rPr>
                <w:color w:val="0070C0"/>
              </w:rPr>
            </w:pPr>
          </w:p>
        </w:tc>
        <w:tc>
          <w:tcPr>
            <w:tcW w:w="5946" w:type="dxa"/>
          </w:tcPr>
          <w:p w:rsidR="00CA31AF" w:rsidRDefault="00CA31AF">
            <w:pPr>
              <w:spacing w:before="120" w:after="120"/>
              <w:rPr>
                <w:color w:val="0070C0"/>
              </w:rPr>
            </w:pPr>
          </w:p>
        </w:tc>
      </w:tr>
      <w:tr w:rsidR="00CA31AF">
        <w:tc>
          <w:tcPr>
            <w:tcW w:w="817" w:type="dxa"/>
          </w:tcPr>
          <w:p w:rsidR="00CA31AF" w:rsidRDefault="00CA31AF">
            <w:pPr>
              <w:spacing w:before="120" w:after="120"/>
              <w:rPr>
                <w:color w:val="0070C0"/>
              </w:rPr>
            </w:pPr>
          </w:p>
        </w:tc>
        <w:tc>
          <w:tcPr>
            <w:tcW w:w="1276" w:type="dxa"/>
          </w:tcPr>
          <w:p w:rsidR="00CA31AF" w:rsidRDefault="00CA31AF">
            <w:pPr>
              <w:spacing w:before="120" w:after="120"/>
              <w:rPr>
                <w:color w:val="0070C0"/>
              </w:rPr>
            </w:pPr>
          </w:p>
        </w:tc>
        <w:tc>
          <w:tcPr>
            <w:tcW w:w="2977" w:type="dxa"/>
          </w:tcPr>
          <w:p w:rsidR="00CA31AF" w:rsidRDefault="00CA31AF">
            <w:pPr>
              <w:spacing w:before="120" w:after="120"/>
              <w:rPr>
                <w:color w:val="0070C0"/>
              </w:rPr>
            </w:pPr>
          </w:p>
        </w:tc>
        <w:tc>
          <w:tcPr>
            <w:tcW w:w="5946" w:type="dxa"/>
          </w:tcPr>
          <w:p w:rsidR="00CA31AF" w:rsidRDefault="00CA31AF">
            <w:pPr>
              <w:spacing w:before="120" w:after="120"/>
              <w:rPr>
                <w:color w:val="0070C0"/>
              </w:rPr>
            </w:pPr>
          </w:p>
        </w:tc>
      </w:tr>
      <w:tr w:rsidR="00CA31AF">
        <w:tc>
          <w:tcPr>
            <w:tcW w:w="817" w:type="dxa"/>
          </w:tcPr>
          <w:p w:rsidR="00CA31AF" w:rsidRDefault="00CA31AF">
            <w:pPr>
              <w:spacing w:before="120" w:after="120"/>
              <w:rPr>
                <w:color w:val="0070C0"/>
              </w:rPr>
            </w:pPr>
          </w:p>
        </w:tc>
        <w:tc>
          <w:tcPr>
            <w:tcW w:w="1276" w:type="dxa"/>
          </w:tcPr>
          <w:p w:rsidR="00CA31AF" w:rsidRDefault="00CA31AF">
            <w:pPr>
              <w:spacing w:before="120" w:after="120"/>
              <w:rPr>
                <w:color w:val="0070C0"/>
              </w:rPr>
            </w:pPr>
          </w:p>
        </w:tc>
        <w:tc>
          <w:tcPr>
            <w:tcW w:w="2977" w:type="dxa"/>
          </w:tcPr>
          <w:p w:rsidR="00CA31AF" w:rsidRDefault="00CA31AF">
            <w:pPr>
              <w:spacing w:before="120" w:after="120"/>
              <w:rPr>
                <w:color w:val="0070C0"/>
              </w:rPr>
            </w:pPr>
          </w:p>
        </w:tc>
        <w:tc>
          <w:tcPr>
            <w:tcW w:w="5946" w:type="dxa"/>
          </w:tcPr>
          <w:p w:rsidR="00CA31AF" w:rsidRDefault="00CA31AF">
            <w:pPr>
              <w:spacing w:before="120" w:after="120"/>
              <w:rPr>
                <w:color w:val="0070C0"/>
              </w:rPr>
            </w:pPr>
          </w:p>
        </w:tc>
      </w:tr>
      <w:tr w:rsidR="00CA31AF">
        <w:tc>
          <w:tcPr>
            <w:tcW w:w="817" w:type="dxa"/>
          </w:tcPr>
          <w:p w:rsidR="00CA31AF" w:rsidRDefault="00CA31AF">
            <w:pPr>
              <w:spacing w:before="120" w:after="120"/>
              <w:rPr>
                <w:color w:val="0070C0"/>
              </w:rPr>
            </w:pPr>
          </w:p>
        </w:tc>
        <w:tc>
          <w:tcPr>
            <w:tcW w:w="1276" w:type="dxa"/>
          </w:tcPr>
          <w:p w:rsidR="00CA31AF" w:rsidRDefault="00CA31AF">
            <w:pPr>
              <w:spacing w:before="120" w:after="120"/>
              <w:rPr>
                <w:color w:val="0070C0"/>
              </w:rPr>
            </w:pPr>
          </w:p>
        </w:tc>
        <w:tc>
          <w:tcPr>
            <w:tcW w:w="2977" w:type="dxa"/>
          </w:tcPr>
          <w:p w:rsidR="00CA31AF" w:rsidRDefault="00CA31AF">
            <w:pPr>
              <w:spacing w:before="120" w:after="120"/>
              <w:rPr>
                <w:color w:val="0070C0"/>
              </w:rPr>
            </w:pPr>
          </w:p>
        </w:tc>
        <w:tc>
          <w:tcPr>
            <w:tcW w:w="5946" w:type="dxa"/>
          </w:tcPr>
          <w:p w:rsidR="00CA31AF" w:rsidRDefault="00CA31AF">
            <w:pPr>
              <w:spacing w:before="120" w:after="120"/>
              <w:rPr>
                <w:color w:val="0070C0"/>
              </w:rPr>
            </w:pPr>
          </w:p>
        </w:tc>
      </w:tr>
    </w:tbl>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D8490A">
      <w:pPr>
        <w:shd w:val="clear" w:color="auto" w:fill="D9D9D9"/>
        <w:rPr>
          <w:b/>
        </w:rPr>
      </w:pPr>
      <w:r>
        <w:rPr>
          <w:b/>
        </w:rPr>
        <w:t>CALENDARIO DE ADQUISICIONES</w:t>
      </w:r>
    </w:p>
    <w:tbl>
      <w:tblPr>
        <w:tblStyle w:val="af2"/>
        <w:tblW w:w="10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1"/>
        <w:gridCol w:w="2893"/>
        <w:gridCol w:w="2671"/>
        <w:gridCol w:w="4620"/>
      </w:tblGrid>
      <w:tr w:rsidR="00CA31AF">
        <w:tc>
          <w:tcPr>
            <w:tcW w:w="811" w:type="dxa"/>
            <w:shd w:val="clear" w:color="auto" w:fill="D9D9D9"/>
          </w:tcPr>
          <w:p w:rsidR="00CA31AF" w:rsidRDefault="00D8490A">
            <w:pPr>
              <w:jc w:val="center"/>
              <w:rPr>
                <w:b/>
              </w:rPr>
            </w:pPr>
            <w:r>
              <w:rPr>
                <w:b/>
              </w:rPr>
              <w:t>#</w:t>
            </w:r>
          </w:p>
        </w:tc>
        <w:tc>
          <w:tcPr>
            <w:tcW w:w="2893" w:type="dxa"/>
            <w:shd w:val="clear" w:color="auto" w:fill="D9D9D9"/>
          </w:tcPr>
          <w:p w:rsidR="00CA31AF" w:rsidRDefault="00D8490A">
            <w:pPr>
              <w:rPr>
                <w:b/>
              </w:rPr>
            </w:pPr>
            <w:r>
              <w:rPr>
                <w:b/>
              </w:rPr>
              <w:t>RECURSO</w:t>
            </w:r>
          </w:p>
        </w:tc>
        <w:tc>
          <w:tcPr>
            <w:tcW w:w="2671" w:type="dxa"/>
            <w:shd w:val="clear" w:color="auto" w:fill="D9D9D9"/>
          </w:tcPr>
          <w:p w:rsidR="00CA31AF" w:rsidRDefault="00D8490A">
            <w:pPr>
              <w:jc w:val="center"/>
              <w:rPr>
                <w:b/>
              </w:rPr>
            </w:pPr>
            <w:r>
              <w:rPr>
                <w:b/>
              </w:rPr>
              <w:t>FECHA DE ADQUISICIÓN</w:t>
            </w:r>
          </w:p>
        </w:tc>
        <w:tc>
          <w:tcPr>
            <w:tcW w:w="4620" w:type="dxa"/>
            <w:shd w:val="clear" w:color="auto" w:fill="D9D9D9"/>
          </w:tcPr>
          <w:p w:rsidR="00CA31AF" w:rsidRDefault="00D8490A">
            <w:pPr>
              <w:jc w:val="center"/>
              <w:rPr>
                <w:b/>
              </w:rPr>
            </w:pPr>
            <w:r>
              <w:rPr>
                <w:b/>
              </w:rPr>
              <w:t>JUSTIFICACIÓN</w:t>
            </w:r>
          </w:p>
        </w:tc>
      </w:tr>
      <w:tr w:rsidR="00CA31AF">
        <w:tc>
          <w:tcPr>
            <w:tcW w:w="811" w:type="dxa"/>
          </w:tcPr>
          <w:p w:rsidR="00CA31AF" w:rsidRDefault="00CA31AF">
            <w:pPr>
              <w:spacing w:before="120" w:after="120"/>
              <w:rPr>
                <w:color w:val="0070C0"/>
              </w:rPr>
            </w:pPr>
          </w:p>
        </w:tc>
        <w:tc>
          <w:tcPr>
            <w:tcW w:w="2893" w:type="dxa"/>
          </w:tcPr>
          <w:p w:rsidR="00CA31AF" w:rsidRDefault="00D8490A">
            <w:pPr>
              <w:spacing w:before="120" w:after="120"/>
              <w:rPr>
                <w:color w:val="0070C0"/>
              </w:rPr>
            </w:pPr>
            <w:r>
              <w:rPr>
                <w:color w:val="0070C0"/>
              </w:rPr>
              <w:t>#No procede</w:t>
            </w:r>
          </w:p>
        </w:tc>
        <w:tc>
          <w:tcPr>
            <w:tcW w:w="2671" w:type="dxa"/>
          </w:tcPr>
          <w:p w:rsidR="00CA31AF" w:rsidRDefault="00CA31AF">
            <w:pPr>
              <w:spacing w:before="120" w:after="120"/>
              <w:rPr>
                <w:color w:val="0070C0"/>
              </w:rPr>
            </w:pPr>
          </w:p>
        </w:tc>
        <w:tc>
          <w:tcPr>
            <w:tcW w:w="4620" w:type="dxa"/>
          </w:tcPr>
          <w:p w:rsidR="00CA31AF" w:rsidRDefault="00CA31AF">
            <w:pPr>
              <w:spacing w:before="120" w:after="120"/>
              <w:rPr>
                <w:color w:val="0070C0"/>
              </w:rPr>
            </w:pPr>
          </w:p>
        </w:tc>
      </w:tr>
      <w:tr w:rsidR="00CA31AF">
        <w:tc>
          <w:tcPr>
            <w:tcW w:w="811" w:type="dxa"/>
          </w:tcPr>
          <w:p w:rsidR="00CA31AF" w:rsidRDefault="00CA31AF">
            <w:pPr>
              <w:spacing w:before="120" w:after="120"/>
              <w:rPr>
                <w:color w:val="0070C0"/>
              </w:rPr>
            </w:pPr>
          </w:p>
        </w:tc>
        <w:tc>
          <w:tcPr>
            <w:tcW w:w="2893" w:type="dxa"/>
          </w:tcPr>
          <w:p w:rsidR="00CA31AF" w:rsidRDefault="00CA31AF">
            <w:pPr>
              <w:spacing w:before="120" w:after="120"/>
              <w:rPr>
                <w:color w:val="0070C0"/>
              </w:rPr>
            </w:pPr>
          </w:p>
        </w:tc>
        <w:tc>
          <w:tcPr>
            <w:tcW w:w="2671" w:type="dxa"/>
          </w:tcPr>
          <w:p w:rsidR="00CA31AF" w:rsidRDefault="00CA31AF">
            <w:pPr>
              <w:spacing w:before="120" w:after="120"/>
              <w:rPr>
                <w:color w:val="0070C0"/>
              </w:rPr>
            </w:pPr>
          </w:p>
        </w:tc>
        <w:tc>
          <w:tcPr>
            <w:tcW w:w="4620" w:type="dxa"/>
          </w:tcPr>
          <w:p w:rsidR="00CA31AF" w:rsidRDefault="00CA31AF">
            <w:pPr>
              <w:spacing w:before="120" w:after="120"/>
              <w:rPr>
                <w:color w:val="0070C0"/>
              </w:rPr>
            </w:pPr>
          </w:p>
        </w:tc>
      </w:tr>
      <w:tr w:rsidR="00CA31AF">
        <w:tc>
          <w:tcPr>
            <w:tcW w:w="811" w:type="dxa"/>
          </w:tcPr>
          <w:p w:rsidR="00CA31AF" w:rsidRDefault="00CA31AF">
            <w:pPr>
              <w:spacing w:before="120" w:after="120"/>
              <w:rPr>
                <w:color w:val="0070C0"/>
              </w:rPr>
            </w:pPr>
          </w:p>
        </w:tc>
        <w:tc>
          <w:tcPr>
            <w:tcW w:w="2893" w:type="dxa"/>
          </w:tcPr>
          <w:p w:rsidR="00CA31AF" w:rsidRDefault="00CA31AF">
            <w:pPr>
              <w:spacing w:before="120" w:after="120"/>
              <w:rPr>
                <w:color w:val="0070C0"/>
              </w:rPr>
            </w:pPr>
          </w:p>
        </w:tc>
        <w:tc>
          <w:tcPr>
            <w:tcW w:w="2671" w:type="dxa"/>
          </w:tcPr>
          <w:p w:rsidR="00CA31AF" w:rsidRDefault="00CA31AF">
            <w:pPr>
              <w:spacing w:before="120" w:after="120"/>
              <w:rPr>
                <w:color w:val="0070C0"/>
              </w:rPr>
            </w:pPr>
          </w:p>
        </w:tc>
        <w:tc>
          <w:tcPr>
            <w:tcW w:w="4620" w:type="dxa"/>
          </w:tcPr>
          <w:p w:rsidR="00CA31AF" w:rsidRDefault="00CA31AF">
            <w:pPr>
              <w:spacing w:before="120" w:after="120"/>
              <w:rPr>
                <w:color w:val="0070C0"/>
              </w:rPr>
            </w:pPr>
          </w:p>
        </w:tc>
      </w:tr>
      <w:tr w:rsidR="00CA31AF">
        <w:tc>
          <w:tcPr>
            <w:tcW w:w="811" w:type="dxa"/>
          </w:tcPr>
          <w:p w:rsidR="00CA31AF" w:rsidRDefault="00CA31AF">
            <w:pPr>
              <w:spacing w:before="120" w:after="120"/>
              <w:rPr>
                <w:color w:val="0070C0"/>
              </w:rPr>
            </w:pPr>
          </w:p>
        </w:tc>
        <w:tc>
          <w:tcPr>
            <w:tcW w:w="2893" w:type="dxa"/>
          </w:tcPr>
          <w:p w:rsidR="00CA31AF" w:rsidRDefault="00CA31AF">
            <w:pPr>
              <w:spacing w:before="120" w:after="120"/>
              <w:rPr>
                <w:color w:val="0070C0"/>
              </w:rPr>
            </w:pPr>
          </w:p>
        </w:tc>
        <w:tc>
          <w:tcPr>
            <w:tcW w:w="2671" w:type="dxa"/>
          </w:tcPr>
          <w:p w:rsidR="00CA31AF" w:rsidRDefault="00CA31AF">
            <w:pPr>
              <w:spacing w:before="120" w:after="120"/>
              <w:rPr>
                <w:color w:val="0070C0"/>
              </w:rPr>
            </w:pPr>
          </w:p>
        </w:tc>
        <w:tc>
          <w:tcPr>
            <w:tcW w:w="4620" w:type="dxa"/>
          </w:tcPr>
          <w:p w:rsidR="00CA31AF" w:rsidRDefault="00CA31AF">
            <w:pPr>
              <w:spacing w:before="120" w:after="120"/>
              <w:rPr>
                <w:color w:val="0070C0"/>
              </w:rPr>
            </w:pPr>
          </w:p>
        </w:tc>
      </w:tr>
      <w:tr w:rsidR="00CA31AF">
        <w:tc>
          <w:tcPr>
            <w:tcW w:w="811" w:type="dxa"/>
          </w:tcPr>
          <w:p w:rsidR="00CA31AF" w:rsidRDefault="00CA31AF">
            <w:pPr>
              <w:spacing w:before="120" w:after="120"/>
              <w:rPr>
                <w:color w:val="0070C0"/>
              </w:rPr>
            </w:pPr>
          </w:p>
        </w:tc>
        <w:tc>
          <w:tcPr>
            <w:tcW w:w="2893" w:type="dxa"/>
          </w:tcPr>
          <w:p w:rsidR="00CA31AF" w:rsidRDefault="00CA31AF">
            <w:pPr>
              <w:spacing w:before="120" w:after="120"/>
              <w:rPr>
                <w:color w:val="0070C0"/>
              </w:rPr>
            </w:pPr>
          </w:p>
        </w:tc>
        <w:tc>
          <w:tcPr>
            <w:tcW w:w="2671" w:type="dxa"/>
          </w:tcPr>
          <w:p w:rsidR="00CA31AF" w:rsidRDefault="00CA31AF">
            <w:pPr>
              <w:spacing w:before="120" w:after="120"/>
              <w:rPr>
                <w:color w:val="0070C0"/>
              </w:rPr>
            </w:pPr>
          </w:p>
        </w:tc>
        <w:tc>
          <w:tcPr>
            <w:tcW w:w="4620" w:type="dxa"/>
          </w:tcPr>
          <w:p w:rsidR="00CA31AF" w:rsidRDefault="00CA31AF">
            <w:pPr>
              <w:spacing w:before="120" w:after="120"/>
              <w:rPr>
                <w:color w:val="0070C0"/>
              </w:rPr>
            </w:pPr>
          </w:p>
        </w:tc>
      </w:tr>
    </w:tbl>
    <w:p w:rsidR="00CA31AF" w:rsidRDefault="00CA31AF">
      <w:pPr>
        <w:rPr>
          <w:b/>
        </w:rPr>
      </w:pPr>
    </w:p>
    <w:p w:rsidR="00CA31AF" w:rsidRDefault="00D8490A">
      <w:pPr>
        <w:shd w:val="clear" w:color="auto" w:fill="D9D9D9"/>
        <w:rPr>
          <w:b/>
        </w:rPr>
      </w:pPr>
      <w:r>
        <w:rPr>
          <w:b/>
        </w:rPr>
        <w:t>SUPUESTOS Y RESTRICCIONES PARA LAS ADQUISICIONES</w:t>
      </w:r>
    </w:p>
    <w:tbl>
      <w:tblPr>
        <w:tblStyle w:val="af3"/>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CA31AF">
        <w:tc>
          <w:tcPr>
            <w:tcW w:w="11016" w:type="dxa"/>
          </w:tcPr>
          <w:p w:rsidR="00CA31AF" w:rsidRDefault="00D8490A">
            <w:pPr>
              <w:spacing w:before="180" w:after="180"/>
              <w:rPr>
                <w:color w:val="0070C0"/>
              </w:rPr>
            </w:pPr>
            <w:r>
              <w:rPr>
                <w:b/>
                <w:color w:val="0070C0"/>
              </w:rPr>
              <w:t>Supuestos</w:t>
            </w:r>
            <w:r>
              <w:rPr>
                <w:color w:val="0070C0"/>
              </w:rPr>
              <w:t>:</w:t>
            </w:r>
          </w:p>
          <w:p w:rsidR="00CA31AF" w:rsidRDefault="00D8490A">
            <w:pPr>
              <w:numPr>
                <w:ilvl w:val="0"/>
                <w:numId w:val="4"/>
              </w:numPr>
              <w:spacing w:before="180"/>
              <w:rPr>
                <w:color w:val="0070C0"/>
              </w:rPr>
            </w:pPr>
            <w:r>
              <w:rPr>
                <w:b/>
                <w:color w:val="0070C0"/>
              </w:rPr>
              <w:t>Disponibilidad de Información y Colaboración del Cliente</w:t>
            </w:r>
            <w:r>
              <w:rPr>
                <w:color w:val="0070C0"/>
              </w:rPr>
              <w:t>: Se asume que el cliente proporcionará toda la información y retroalimentación necesarias de manera oportuna, especialmente para la recopilación de requisitos y la validación de funcionali</w:t>
            </w:r>
            <w:r>
              <w:rPr>
                <w:color w:val="0070C0"/>
              </w:rPr>
              <w:t>dades clave que serán implementadas por el equipo interno.</w:t>
            </w:r>
          </w:p>
          <w:p w:rsidR="00CA31AF" w:rsidRDefault="00D8490A">
            <w:pPr>
              <w:numPr>
                <w:ilvl w:val="0"/>
                <w:numId w:val="4"/>
              </w:numPr>
              <w:rPr>
                <w:color w:val="0070C0"/>
              </w:rPr>
            </w:pPr>
            <w:r>
              <w:rPr>
                <w:b/>
                <w:color w:val="0070C0"/>
              </w:rPr>
              <w:t>Capacidad del Equipo de Desarrollo para Cumplir con los Tiempos y Estándares de Calidad</w:t>
            </w:r>
            <w:r>
              <w:rPr>
                <w:color w:val="0070C0"/>
              </w:rPr>
              <w:t>: Se espera que el equipo cuente con las habilidades necesarias para completar el proyecto en los tiempos esta</w:t>
            </w:r>
            <w:r>
              <w:rPr>
                <w:color w:val="0070C0"/>
              </w:rPr>
              <w:t>blecidos y con los estándares de calidad definidos en el Plan de Gestión de Calidad.</w:t>
            </w:r>
          </w:p>
          <w:p w:rsidR="00CA31AF" w:rsidRDefault="00D8490A">
            <w:pPr>
              <w:numPr>
                <w:ilvl w:val="0"/>
                <w:numId w:val="4"/>
              </w:numPr>
              <w:spacing w:after="180"/>
              <w:rPr>
                <w:color w:val="0070C0"/>
              </w:rPr>
            </w:pPr>
            <w:r>
              <w:rPr>
                <w:b/>
                <w:color w:val="0070C0"/>
              </w:rPr>
              <w:t>Aprobación y Retroalimentación Eficiente del Cliente</w:t>
            </w:r>
            <w:r>
              <w:rPr>
                <w:color w:val="0070C0"/>
              </w:rPr>
              <w:t>: Se espera que el cliente y las partes interesadas revisen y aprueben los entregables en los plazos establecidos, perm</w:t>
            </w:r>
            <w:r>
              <w:rPr>
                <w:color w:val="0070C0"/>
              </w:rPr>
              <w:t>itiendo ajustes rápidos en caso de ser necesarios.</w:t>
            </w:r>
          </w:p>
          <w:p w:rsidR="00CA31AF" w:rsidRDefault="00D8490A">
            <w:pPr>
              <w:spacing w:before="180" w:after="180"/>
              <w:rPr>
                <w:color w:val="0070C0"/>
              </w:rPr>
            </w:pPr>
            <w:r>
              <w:rPr>
                <w:b/>
                <w:color w:val="0070C0"/>
              </w:rPr>
              <w:t>Restricciones</w:t>
            </w:r>
            <w:r>
              <w:rPr>
                <w:color w:val="0070C0"/>
              </w:rPr>
              <w:t>:</w:t>
            </w:r>
          </w:p>
          <w:p w:rsidR="00CA31AF" w:rsidRDefault="00D8490A">
            <w:pPr>
              <w:numPr>
                <w:ilvl w:val="0"/>
                <w:numId w:val="6"/>
              </w:numPr>
              <w:spacing w:before="180"/>
              <w:rPr>
                <w:color w:val="0070C0"/>
              </w:rPr>
            </w:pPr>
            <w:r>
              <w:rPr>
                <w:b/>
                <w:color w:val="0070C0"/>
              </w:rPr>
              <w:t>Recursos Limitados</w:t>
            </w:r>
            <w:r>
              <w:rPr>
                <w:color w:val="0070C0"/>
              </w:rPr>
              <w:t>: El proyecto cuenta con un presupuesto ajustado (20000€). Esto limita el alcance de las adquisiciones.</w:t>
            </w:r>
          </w:p>
          <w:p w:rsidR="00CA31AF" w:rsidRDefault="00D8490A">
            <w:pPr>
              <w:numPr>
                <w:ilvl w:val="0"/>
                <w:numId w:val="6"/>
              </w:numPr>
              <w:rPr>
                <w:color w:val="0070C0"/>
              </w:rPr>
            </w:pPr>
            <w:r>
              <w:rPr>
                <w:b/>
                <w:color w:val="0070C0"/>
              </w:rPr>
              <w:t>Plazos Estrictos de Entrega</w:t>
            </w:r>
            <w:r>
              <w:rPr>
                <w:color w:val="0070C0"/>
              </w:rPr>
              <w:t>: Todas las actividades deben estar completas para el 6 de diciembre de 2024, previo a la presentación final al cliente el 11 de diciembre de 2024. Esto requiere un estricto cumplimiento del calendario de trabajo definido internamente para evitar demoras.</w:t>
            </w:r>
          </w:p>
          <w:p w:rsidR="00CA31AF" w:rsidRDefault="00D8490A">
            <w:pPr>
              <w:numPr>
                <w:ilvl w:val="0"/>
                <w:numId w:val="6"/>
              </w:numPr>
              <w:spacing w:after="180"/>
              <w:rPr>
                <w:color w:val="0070C0"/>
              </w:rPr>
            </w:pPr>
            <w:r>
              <w:rPr>
                <w:b/>
                <w:color w:val="0070C0"/>
              </w:rPr>
              <w:t>Disponibilidad de Recursos Humanos y Técnicos Internos</w:t>
            </w:r>
            <w:r>
              <w:rPr>
                <w:color w:val="0070C0"/>
              </w:rPr>
              <w:t>: El equipo de desarrollo y pruebas cuenta con recursos limitados en términos de tiempo y especialización. Por lo tanto, cualquier retraso en las tareas internas de desarrollo y pruebas impactará direct</w:t>
            </w:r>
            <w:r>
              <w:rPr>
                <w:color w:val="0070C0"/>
              </w:rPr>
              <w:t>amente en la capacidad del equipo para cumplir con el cronograma.</w:t>
            </w:r>
          </w:p>
        </w:tc>
      </w:tr>
    </w:tbl>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D8490A">
      <w:pPr>
        <w:shd w:val="clear" w:color="auto" w:fill="D9D9D9"/>
        <w:rPr>
          <w:b/>
        </w:rPr>
      </w:pPr>
      <w:r>
        <w:rPr>
          <w:b/>
        </w:rPr>
        <w:t>POR CADA RECURSO</w:t>
      </w:r>
    </w:p>
    <w:tbl>
      <w:tblPr>
        <w:tblStyle w:val="af4"/>
        <w:tblW w:w="109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9333"/>
      </w:tblGrid>
      <w:tr w:rsidR="00CA31AF">
        <w:tc>
          <w:tcPr>
            <w:tcW w:w="1617" w:type="dxa"/>
            <w:shd w:val="clear" w:color="auto" w:fill="D9D9D9"/>
          </w:tcPr>
          <w:p w:rsidR="00CA31AF" w:rsidRDefault="00D8490A">
            <w:pPr>
              <w:spacing w:before="120" w:after="120"/>
            </w:pPr>
            <w:r>
              <w:t>#</w:t>
            </w:r>
          </w:p>
        </w:tc>
        <w:tc>
          <w:tcPr>
            <w:tcW w:w="9333" w:type="dxa"/>
          </w:tcPr>
          <w:p w:rsidR="00CA31AF" w:rsidRDefault="00D8490A">
            <w:pPr>
              <w:spacing w:before="120" w:after="120"/>
              <w:rPr>
                <w:i/>
                <w:color w:val="0070C0"/>
              </w:rPr>
            </w:pPr>
            <w:r>
              <w:rPr>
                <w:i/>
                <w:color w:val="0070C0"/>
              </w:rPr>
              <w:t>No procede</w:t>
            </w:r>
          </w:p>
        </w:tc>
      </w:tr>
      <w:tr w:rsidR="00CA31AF">
        <w:tc>
          <w:tcPr>
            <w:tcW w:w="1617" w:type="dxa"/>
            <w:shd w:val="clear" w:color="auto" w:fill="D9D9D9"/>
          </w:tcPr>
          <w:p w:rsidR="00CA31AF" w:rsidRDefault="00D8490A">
            <w:pPr>
              <w:spacing w:before="120" w:after="120"/>
            </w:pPr>
            <w:r>
              <w:t>RECURSO</w:t>
            </w:r>
          </w:p>
        </w:tc>
        <w:tc>
          <w:tcPr>
            <w:tcW w:w="9333" w:type="dxa"/>
          </w:tcPr>
          <w:p w:rsidR="00CA31AF" w:rsidRDefault="00CA31AF">
            <w:pPr>
              <w:spacing w:before="120" w:after="120"/>
              <w:rPr>
                <w:i/>
                <w:color w:val="0070C0"/>
              </w:rPr>
            </w:pPr>
          </w:p>
        </w:tc>
      </w:tr>
      <w:tr w:rsidR="00CA31AF">
        <w:tc>
          <w:tcPr>
            <w:tcW w:w="1617" w:type="dxa"/>
            <w:shd w:val="clear" w:color="auto" w:fill="D9D9D9"/>
          </w:tcPr>
          <w:p w:rsidR="00CA31AF" w:rsidRDefault="00D8490A">
            <w:pPr>
              <w:spacing w:before="120" w:after="120"/>
            </w:pPr>
            <w:r>
              <w:t>ENUNCIADO DEL TRABAJO</w:t>
            </w:r>
          </w:p>
        </w:tc>
        <w:tc>
          <w:tcPr>
            <w:tcW w:w="9333" w:type="dxa"/>
          </w:tcPr>
          <w:p w:rsidR="00CA31AF" w:rsidRDefault="00CA31AF">
            <w:pPr>
              <w:spacing w:before="120" w:after="120"/>
              <w:rPr>
                <w:i/>
                <w:color w:val="0070C0"/>
              </w:rPr>
            </w:pPr>
          </w:p>
        </w:tc>
      </w:tr>
      <w:tr w:rsidR="00CA31AF">
        <w:tc>
          <w:tcPr>
            <w:tcW w:w="1617" w:type="dxa"/>
            <w:shd w:val="clear" w:color="auto" w:fill="D9D9D9"/>
          </w:tcPr>
          <w:p w:rsidR="00CA31AF" w:rsidRDefault="00D8490A">
            <w:pPr>
              <w:spacing w:before="120" w:after="120"/>
            </w:pPr>
            <w:r>
              <w:t>PROCEDIMIENTO DE SELECCIÓN</w:t>
            </w:r>
          </w:p>
        </w:tc>
        <w:tc>
          <w:tcPr>
            <w:tcW w:w="9333" w:type="dxa"/>
          </w:tcPr>
          <w:p w:rsidR="00CA31AF" w:rsidRDefault="00CA31AF">
            <w:pPr>
              <w:spacing w:before="120" w:after="120"/>
              <w:rPr>
                <w:i/>
                <w:color w:val="0070C0"/>
              </w:rPr>
            </w:pPr>
          </w:p>
        </w:tc>
      </w:tr>
      <w:tr w:rsidR="00CA31AF">
        <w:tc>
          <w:tcPr>
            <w:tcW w:w="1617" w:type="dxa"/>
            <w:shd w:val="clear" w:color="auto" w:fill="D9D9D9"/>
          </w:tcPr>
          <w:p w:rsidR="00CA31AF" w:rsidRDefault="00D8490A">
            <w:pPr>
              <w:spacing w:before="120" w:after="120"/>
            </w:pPr>
            <w:r>
              <w:t>PROVEEDORES YA CUALIFICADOS</w:t>
            </w:r>
          </w:p>
        </w:tc>
        <w:tc>
          <w:tcPr>
            <w:tcW w:w="9333" w:type="dxa"/>
          </w:tcPr>
          <w:p w:rsidR="00CA31AF" w:rsidRDefault="00CA31AF">
            <w:pPr>
              <w:spacing w:before="120" w:after="120"/>
              <w:rPr>
                <w:i/>
                <w:color w:val="0070C0"/>
              </w:rPr>
            </w:pPr>
          </w:p>
        </w:tc>
      </w:tr>
      <w:tr w:rsidR="00CA31AF">
        <w:tc>
          <w:tcPr>
            <w:tcW w:w="1617" w:type="dxa"/>
            <w:shd w:val="clear" w:color="auto" w:fill="D9D9D9"/>
          </w:tcPr>
          <w:p w:rsidR="00CA31AF" w:rsidRDefault="00D8490A">
            <w:pPr>
              <w:spacing w:before="120" w:after="120"/>
            </w:pPr>
            <w:r>
              <w:t>TIPO DE CONTRATO</w:t>
            </w:r>
          </w:p>
        </w:tc>
        <w:tc>
          <w:tcPr>
            <w:tcW w:w="9333" w:type="dxa"/>
          </w:tcPr>
          <w:p w:rsidR="00CA31AF" w:rsidRDefault="00CA31AF">
            <w:pPr>
              <w:spacing w:before="120" w:after="120"/>
              <w:rPr>
                <w:i/>
                <w:color w:val="0070C0"/>
              </w:rPr>
            </w:pPr>
          </w:p>
        </w:tc>
      </w:tr>
      <w:tr w:rsidR="00CA31AF">
        <w:tc>
          <w:tcPr>
            <w:tcW w:w="1617" w:type="dxa"/>
            <w:shd w:val="clear" w:color="auto" w:fill="D9D9D9"/>
          </w:tcPr>
          <w:p w:rsidR="00CA31AF" w:rsidRDefault="00D8490A">
            <w:pPr>
              <w:spacing w:before="120" w:after="120"/>
            </w:pPr>
            <w:r>
              <w:t>SEGUIMIENTO DEL PROVEEDOR</w:t>
            </w:r>
          </w:p>
        </w:tc>
        <w:tc>
          <w:tcPr>
            <w:tcW w:w="9333" w:type="dxa"/>
          </w:tcPr>
          <w:p w:rsidR="00CA31AF" w:rsidRDefault="00CA31AF">
            <w:pPr>
              <w:spacing w:before="120" w:after="120"/>
              <w:rPr>
                <w:i/>
                <w:color w:val="0070C0"/>
              </w:rPr>
            </w:pPr>
          </w:p>
        </w:tc>
      </w:tr>
      <w:tr w:rsidR="00CA31AF">
        <w:tc>
          <w:tcPr>
            <w:tcW w:w="1617" w:type="dxa"/>
            <w:shd w:val="clear" w:color="auto" w:fill="D9D9D9"/>
          </w:tcPr>
          <w:p w:rsidR="00CA31AF" w:rsidRDefault="00D8490A">
            <w:pPr>
              <w:spacing w:before="120" w:after="120"/>
            </w:pPr>
            <w:r>
              <w:t>CONTROLES DE CALIDAD</w:t>
            </w:r>
          </w:p>
        </w:tc>
        <w:tc>
          <w:tcPr>
            <w:tcW w:w="9333" w:type="dxa"/>
          </w:tcPr>
          <w:p w:rsidR="00CA31AF" w:rsidRDefault="00CA31AF">
            <w:pPr>
              <w:spacing w:before="120" w:after="120"/>
              <w:rPr>
                <w:i/>
                <w:color w:val="0070C0"/>
              </w:rPr>
            </w:pPr>
          </w:p>
        </w:tc>
      </w:tr>
      <w:tr w:rsidR="00CA31AF">
        <w:tc>
          <w:tcPr>
            <w:tcW w:w="1617" w:type="dxa"/>
            <w:shd w:val="clear" w:color="auto" w:fill="D9D9D9"/>
          </w:tcPr>
          <w:p w:rsidR="00CA31AF" w:rsidRDefault="00D8490A">
            <w:pPr>
              <w:spacing w:before="120" w:after="120"/>
            </w:pPr>
            <w:r>
              <w:t>RESPONSABLES</w:t>
            </w:r>
          </w:p>
        </w:tc>
        <w:tc>
          <w:tcPr>
            <w:tcW w:w="9333" w:type="dxa"/>
          </w:tcPr>
          <w:p w:rsidR="00CA31AF" w:rsidRDefault="00CA31AF">
            <w:pPr>
              <w:spacing w:before="120" w:after="120"/>
              <w:rPr>
                <w:i/>
                <w:color w:val="0070C0"/>
              </w:rPr>
            </w:pPr>
          </w:p>
        </w:tc>
      </w:tr>
    </w:tbl>
    <w:p w:rsidR="00CA31AF" w:rsidRDefault="00CA31AF"/>
    <w:p w:rsidR="00CA31AF" w:rsidRDefault="00D8490A">
      <w:pPr>
        <w:shd w:val="clear" w:color="auto" w:fill="D9D9D9"/>
        <w:rPr>
          <w:b/>
        </w:rPr>
      </w:pPr>
      <w:r>
        <w:rPr>
          <w:b/>
        </w:rPr>
        <w:t>CRITERIOS DE SELECCIÓN</w:t>
      </w:r>
    </w:p>
    <w:tbl>
      <w:tblPr>
        <w:tblStyle w:val="af5"/>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8"/>
        <w:gridCol w:w="1922"/>
      </w:tblGrid>
      <w:tr w:rsidR="00CA31AF">
        <w:tc>
          <w:tcPr>
            <w:tcW w:w="9018" w:type="dxa"/>
            <w:shd w:val="clear" w:color="auto" w:fill="D9D9D9"/>
          </w:tcPr>
          <w:p w:rsidR="00CA31AF" w:rsidRDefault="00D8490A">
            <w:pPr>
              <w:jc w:val="center"/>
              <w:rPr>
                <w:b/>
              </w:rPr>
            </w:pPr>
            <w:r>
              <w:rPr>
                <w:b/>
              </w:rPr>
              <w:t>CRITERIO</w:t>
            </w:r>
          </w:p>
        </w:tc>
        <w:tc>
          <w:tcPr>
            <w:tcW w:w="1922" w:type="dxa"/>
            <w:shd w:val="clear" w:color="auto" w:fill="D9D9D9"/>
          </w:tcPr>
          <w:p w:rsidR="00CA31AF" w:rsidRDefault="00D8490A">
            <w:pPr>
              <w:jc w:val="center"/>
              <w:rPr>
                <w:b/>
              </w:rPr>
            </w:pPr>
            <w:r>
              <w:rPr>
                <w:b/>
              </w:rPr>
              <w:t xml:space="preserve">PONDERACIÓN </w:t>
            </w:r>
          </w:p>
        </w:tc>
      </w:tr>
      <w:tr w:rsidR="00CA31AF">
        <w:tc>
          <w:tcPr>
            <w:tcW w:w="9018" w:type="dxa"/>
          </w:tcPr>
          <w:p w:rsidR="00CA31AF" w:rsidRDefault="00D8490A">
            <w:pPr>
              <w:spacing w:before="120" w:after="120"/>
              <w:rPr>
                <w:color w:val="0070C0"/>
              </w:rPr>
            </w:pPr>
            <w:r>
              <w:rPr>
                <w:color w:val="0070C0"/>
              </w:rPr>
              <w:t>Cumplimiento de Requisitos</w:t>
            </w:r>
            <w:r>
              <w:rPr>
                <w:color w:val="0070C0"/>
              </w:rPr>
              <w:tab/>
            </w:r>
          </w:p>
        </w:tc>
        <w:tc>
          <w:tcPr>
            <w:tcW w:w="1922" w:type="dxa"/>
          </w:tcPr>
          <w:p w:rsidR="00CA31AF" w:rsidRDefault="00D8490A">
            <w:pPr>
              <w:spacing w:before="120" w:after="120"/>
              <w:jc w:val="right"/>
              <w:rPr>
                <w:b/>
              </w:rPr>
            </w:pPr>
            <w:r>
              <w:rPr>
                <w:b/>
              </w:rPr>
              <w:t>30%</w:t>
            </w:r>
          </w:p>
        </w:tc>
      </w:tr>
      <w:tr w:rsidR="00CA31AF">
        <w:tc>
          <w:tcPr>
            <w:tcW w:w="9018" w:type="dxa"/>
          </w:tcPr>
          <w:p w:rsidR="00CA31AF" w:rsidRDefault="00D8490A">
            <w:pPr>
              <w:spacing w:before="120" w:after="120"/>
              <w:rPr>
                <w:color w:val="0070C0"/>
              </w:rPr>
            </w:pPr>
            <w:r>
              <w:rPr>
                <w:color w:val="0070C0"/>
              </w:rPr>
              <w:t>Calidad y Funcionalidad del Trabajo</w:t>
            </w:r>
            <w:r>
              <w:rPr>
                <w:color w:val="0070C0"/>
              </w:rPr>
              <w:tab/>
            </w:r>
          </w:p>
        </w:tc>
        <w:tc>
          <w:tcPr>
            <w:tcW w:w="1922" w:type="dxa"/>
          </w:tcPr>
          <w:p w:rsidR="00CA31AF" w:rsidRDefault="00D8490A">
            <w:pPr>
              <w:spacing w:before="120" w:after="120"/>
              <w:jc w:val="right"/>
              <w:rPr>
                <w:b/>
              </w:rPr>
            </w:pPr>
            <w:r>
              <w:rPr>
                <w:b/>
              </w:rPr>
              <w:t>25%</w:t>
            </w:r>
          </w:p>
        </w:tc>
      </w:tr>
      <w:tr w:rsidR="00CA31AF">
        <w:tc>
          <w:tcPr>
            <w:tcW w:w="9018" w:type="dxa"/>
          </w:tcPr>
          <w:p w:rsidR="00CA31AF" w:rsidRDefault="00D8490A">
            <w:pPr>
              <w:spacing w:before="120" w:after="120"/>
              <w:rPr>
                <w:color w:val="0070C0"/>
              </w:rPr>
            </w:pPr>
            <w:r>
              <w:rPr>
                <w:color w:val="0070C0"/>
              </w:rPr>
              <w:t>Cumplimiento de Plazos</w:t>
            </w:r>
            <w:r>
              <w:rPr>
                <w:color w:val="0070C0"/>
              </w:rPr>
              <w:tab/>
            </w:r>
          </w:p>
        </w:tc>
        <w:tc>
          <w:tcPr>
            <w:tcW w:w="1922" w:type="dxa"/>
          </w:tcPr>
          <w:p w:rsidR="00CA31AF" w:rsidRDefault="00D8490A">
            <w:pPr>
              <w:spacing w:before="120" w:after="120"/>
              <w:jc w:val="right"/>
              <w:rPr>
                <w:b/>
              </w:rPr>
            </w:pPr>
            <w:r>
              <w:rPr>
                <w:b/>
              </w:rPr>
              <w:t>20%</w:t>
            </w:r>
          </w:p>
        </w:tc>
      </w:tr>
      <w:tr w:rsidR="00CA31AF">
        <w:tc>
          <w:tcPr>
            <w:tcW w:w="9018" w:type="dxa"/>
          </w:tcPr>
          <w:p w:rsidR="00CA31AF" w:rsidRDefault="00D8490A">
            <w:pPr>
              <w:spacing w:before="120" w:after="120"/>
              <w:rPr>
                <w:color w:val="0070C0"/>
              </w:rPr>
            </w:pPr>
            <w:r>
              <w:rPr>
                <w:color w:val="0070C0"/>
              </w:rPr>
              <w:t>Documentación y Trazabilidad</w:t>
            </w:r>
            <w:r>
              <w:rPr>
                <w:color w:val="0070C0"/>
              </w:rPr>
              <w:tab/>
            </w:r>
          </w:p>
        </w:tc>
        <w:tc>
          <w:tcPr>
            <w:tcW w:w="1922" w:type="dxa"/>
          </w:tcPr>
          <w:p w:rsidR="00CA31AF" w:rsidRDefault="00D8490A">
            <w:pPr>
              <w:spacing w:before="120" w:after="120"/>
              <w:jc w:val="right"/>
              <w:rPr>
                <w:b/>
              </w:rPr>
            </w:pPr>
            <w:r>
              <w:rPr>
                <w:b/>
              </w:rPr>
              <w:t>15%</w:t>
            </w:r>
          </w:p>
        </w:tc>
      </w:tr>
      <w:tr w:rsidR="00CA31AF">
        <w:tc>
          <w:tcPr>
            <w:tcW w:w="9018" w:type="dxa"/>
            <w:tcBorders>
              <w:bottom w:val="single" w:sz="4" w:space="0" w:color="000000"/>
            </w:tcBorders>
          </w:tcPr>
          <w:p w:rsidR="00CA31AF" w:rsidRDefault="00D8490A">
            <w:pPr>
              <w:spacing w:before="120" w:after="120"/>
              <w:rPr>
                <w:color w:val="0070C0"/>
              </w:rPr>
            </w:pPr>
            <w:r>
              <w:rPr>
                <w:color w:val="0070C0"/>
              </w:rPr>
              <w:t>Adaptación al Diseño y Branding</w:t>
            </w:r>
            <w:r>
              <w:rPr>
                <w:color w:val="0070C0"/>
              </w:rPr>
              <w:tab/>
            </w:r>
          </w:p>
        </w:tc>
        <w:tc>
          <w:tcPr>
            <w:tcW w:w="1922" w:type="dxa"/>
          </w:tcPr>
          <w:p w:rsidR="00CA31AF" w:rsidRDefault="00D8490A">
            <w:pPr>
              <w:spacing w:before="120" w:after="120"/>
              <w:jc w:val="right"/>
              <w:rPr>
                <w:b/>
              </w:rPr>
            </w:pPr>
            <w:r>
              <w:rPr>
                <w:b/>
              </w:rPr>
              <w:t>10%</w:t>
            </w:r>
          </w:p>
        </w:tc>
      </w:tr>
      <w:tr w:rsidR="00CA31AF">
        <w:tc>
          <w:tcPr>
            <w:tcW w:w="9018" w:type="dxa"/>
            <w:tcBorders>
              <w:left w:val="nil"/>
              <w:bottom w:val="nil"/>
            </w:tcBorders>
          </w:tcPr>
          <w:p w:rsidR="00CA31AF" w:rsidRDefault="00CA31AF"/>
        </w:tc>
        <w:tc>
          <w:tcPr>
            <w:tcW w:w="1922" w:type="dxa"/>
            <w:shd w:val="clear" w:color="auto" w:fill="D9D9D9"/>
          </w:tcPr>
          <w:p w:rsidR="00CA31AF" w:rsidRDefault="00D8490A">
            <w:pPr>
              <w:jc w:val="right"/>
              <w:rPr>
                <w:b/>
              </w:rPr>
            </w:pPr>
            <w:r>
              <w:rPr>
                <w:b/>
              </w:rPr>
              <w:t>100 %</w:t>
            </w:r>
          </w:p>
        </w:tc>
      </w:tr>
    </w:tbl>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D8490A">
      <w:pPr>
        <w:shd w:val="clear" w:color="auto" w:fill="D9D9D9"/>
        <w:rPr>
          <w:b/>
        </w:rPr>
      </w:pPr>
      <w:r>
        <w:rPr>
          <w:b/>
        </w:rPr>
        <w:t>AUDITORÍAS DE LAS ADQUISICIONES</w:t>
      </w:r>
    </w:p>
    <w:tbl>
      <w:tblPr>
        <w:tblStyle w:val="af6"/>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CA31AF">
        <w:tc>
          <w:tcPr>
            <w:tcW w:w="11016" w:type="dxa"/>
          </w:tcPr>
          <w:p w:rsidR="00CA31AF" w:rsidRDefault="00D8490A">
            <w:pPr>
              <w:spacing w:before="180" w:after="180"/>
              <w:rPr>
                <w:color w:val="0070C0"/>
              </w:rPr>
            </w:pPr>
            <w:r>
              <w:rPr>
                <w:color w:val="0070C0"/>
              </w:rPr>
              <w:t>Para asegurar el cumplimiento de los objetivos y la calidad en cada fase de las adquisiciones internas, se realizarán auditorías periódicas orientadas a evaluar la efectividad de los recursos y procesos implementados por el equipo. Estas auditorías interna</w:t>
            </w:r>
            <w:r>
              <w:rPr>
                <w:color w:val="0070C0"/>
              </w:rPr>
              <w:t>s tendrán como objetivos:</w:t>
            </w:r>
          </w:p>
          <w:p w:rsidR="00CA31AF" w:rsidRDefault="00D8490A">
            <w:pPr>
              <w:numPr>
                <w:ilvl w:val="0"/>
                <w:numId w:val="3"/>
              </w:numPr>
              <w:spacing w:before="180"/>
              <w:rPr>
                <w:color w:val="0070C0"/>
              </w:rPr>
            </w:pPr>
            <w:r>
              <w:rPr>
                <w:b/>
                <w:color w:val="0070C0"/>
              </w:rPr>
              <w:t>Verificación de Cumplimiento de Requisitos</w:t>
            </w:r>
            <w:r>
              <w:rPr>
                <w:color w:val="0070C0"/>
              </w:rPr>
              <w:t>: Asegurar que cada adquisición (recurso o actividad interna) cumple con los requisitos y especificaciones establecidas en el plan del proyecto. Se revisarán los entregables de cada equipo</w:t>
            </w:r>
            <w:r>
              <w:rPr>
                <w:color w:val="0070C0"/>
              </w:rPr>
              <w:t>, comprobando que se adhieren a los objetivos definidos.</w:t>
            </w:r>
          </w:p>
          <w:p w:rsidR="00CA31AF" w:rsidRDefault="00D8490A">
            <w:pPr>
              <w:numPr>
                <w:ilvl w:val="0"/>
                <w:numId w:val="3"/>
              </w:numPr>
              <w:rPr>
                <w:color w:val="0070C0"/>
              </w:rPr>
            </w:pPr>
            <w:r>
              <w:rPr>
                <w:b/>
                <w:color w:val="0070C0"/>
              </w:rPr>
              <w:t>Evaluación de Calidad de los Entregables</w:t>
            </w:r>
            <w:r>
              <w:rPr>
                <w:color w:val="0070C0"/>
              </w:rPr>
              <w:t>: Realizar auditorías de calidad en cada fase del desarrollo. Estas auditorías buscarán identificar posibles mejoras y asegurar que el producto final cumpla co</w:t>
            </w:r>
            <w:r>
              <w:rPr>
                <w:color w:val="0070C0"/>
              </w:rPr>
              <w:t>n los estándares internos de calidad.</w:t>
            </w:r>
          </w:p>
          <w:p w:rsidR="00CA31AF" w:rsidRDefault="00D8490A">
            <w:pPr>
              <w:numPr>
                <w:ilvl w:val="0"/>
                <w:numId w:val="3"/>
              </w:numPr>
              <w:rPr>
                <w:color w:val="0070C0"/>
              </w:rPr>
            </w:pPr>
            <w:r>
              <w:rPr>
                <w:b/>
                <w:color w:val="0070C0"/>
              </w:rPr>
              <w:t>Control de Documentación y Trazabilidad</w:t>
            </w:r>
            <w:r>
              <w:rPr>
                <w:color w:val="0070C0"/>
              </w:rPr>
              <w:t>: Revisar la documentación generada para cada adquisición, incluyendo los requisitos, trazabilidad, y resultados de pruebas. Esto asegura que toda la información relevante está co</w:t>
            </w:r>
            <w:r>
              <w:rPr>
                <w:color w:val="0070C0"/>
              </w:rPr>
              <w:t>rrectamente registrada y es accesible para futuras evaluaciones o mejoras.</w:t>
            </w:r>
          </w:p>
          <w:p w:rsidR="00CA31AF" w:rsidRDefault="00D8490A">
            <w:pPr>
              <w:numPr>
                <w:ilvl w:val="0"/>
                <w:numId w:val="3"/>
              </w:numPr>
              <w:rPr>
                <w:color w:val="0070C0"/>
              </w:rPr>
            </w:pPr>
            <w:r>
              <w:rPr>
                <w:b/>
                <w:color w:val="0070C0"/>
              </w:rPr>
              <w:t>Revisión de Cumplimiento de Plazos</w:t>
            </w:r>
            <w:r>
              <w:rPr>
                <w:color w:val="0070C0"/>
              </w:rPr>
              <w:t>: Monitorear el progreso respecto al cronograma para cada adquisición. Se realizarán revisiones de tiempos en los puntos de control definidos, garantizando que el proyecto avanza conforme al calendario establecido.</w:t>
            </w:r>
          </w:p>
          <w:p w:rsidR="00CA31AF" w:rsidRDefault="00D8490A">
            <w:pPr>
              <w:numPr>
                <w:ilvl w:val="0"/>
                <w:numId w:val="3"/>
              </w:numPr>
              <w:spacing w:after="180"/>
              <w:rPr>
                <w:color w:val="0070C0"/>
              </w:rPr>
            </w:pPr>
            <w:r>
              <w:rPr>
                <w:b/>
                <w:color w:val="0070C0"/>
              </w:rPr>
              <w:t>Retroalimentación y Mejora Continua</w:t>
            </w:r>
            <w:r>
              <w:rPr>
                <w:color w:val="0070C0"/>
              </w:rPr>
              <w:t>: Desp</w:t>
            </w:r>
            <w:r>
              <w:rPr>
                <w:color w:val="0070C0"/>
              </w:rPr>
              <w:t>ués de cada auditoría, se generará un informe de retroalimentación con recomendaciones para optimizar los procesos. Esto permite realizar ajustes en tiempo real y mejorar continuamente la gestión interna de las adquisiciones.</w:t>
            </w:r>
          </w:p>
          <w:p w:rsidR="00CA31AF" w:rsidRDefault="00D8490A">
            <w:pPr>
              <w:spacing w:before="180" w:after="180"/>
              <w:rPr>
                <w:color w:val="0070C0"/>
              </w:rPr>
            </w:pPr>
            <w:r>
              <w:rPr>
                <w:b/>
                <w:color w:val="0070C0"/>
              </w:rPr>
              <w:t>Frecuencia de Auditorías</w:t>
            </w:r>
            <w:r>
              <w:rPr>
                <w:color w:val="0070C0"/>
              </w:rPr>
              <w:t xml:space="preserve">: Las </w:t>
            </w:r>
            <w:r>
              <w:rPr>
                <w:color w:val="0070C0"/>
              </w:rPr>
              <w:t>auditorías se realizarán al cierre de cada fase clave del proyecto (recolección de requisitos, desarrollo, pruebas y entrega final), con revisiones adicionales si se detectan desviaciones significativas.</w:t>
            </w:r>
          </w:p>
          <w:p w:rsidR="00CA31AF" w:rsidRDefault="00D8490A">
            <w:pPr>
              <w:spacing w:before="180" w:after="180"/>
              <w:rPr>
                <w:color w:val="0070C0"/>
              </w:rPr>
            </w:pPr>
            <w:r>
              <w:rPr>
                <w:b/>
                <w:color w:val="0070C0"/>
              </w:rPr>
              <w:t>Responsables</w:t>
            </w:r>
            <w:r>
              <w:rPr>
                <w:color w:val="0070C0"/>
              </w:rPr>
              <w:t>: El Director del Proyecto y el equipo d</w:t>
            </w:r>
            <w:r>
              <w:rPr>
                <w:color w:val="0070C0"/>
              </w:rPr>
              <w:t>e QA liderarán las auditorías, con la participación de los responsables de cada área para asegurar la transparencia y efectividad del proceso.</w:t>
            </w:r>
          </w:p>
        </w:tc>
      </w:tr>
    </w:tbl>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CA31AF"/>
    <w:p w:rsidR="00CA31AF" w:rsidRDefault="00D8490A">
      <w:pPr>
        <w:shd w:val="clear" w:color="auto" w:fill="D9D9D9"/>
        <w:rPr>
          <w:b/>
        </w:rPr>
      </w:pPr>
      <w:r>
        <w:rPr>
          <w:b/>
        </w:rPr>
        <w:t>CIERRE DE LAS ADQUISICIONES</w:t>
      </w:r>
    </w:p>
    <w:tbl>
      <w:tblPr>
        <w:tblStyle w:val="af7"/>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CA31AF">
        <w:tc>
          <w:tcPr>
            <w:tcW w:w="11016" w:type="dxa"/>
          </w:tcPr>
          <w:p w:rsidR="00CA31AF" w:rsidRDefault="00D8490A">
            <w:pPr>
              <w:spacing w:before="180" w:after="180"/>
              <w:rPr>
                <w:color w:val="0070C0"/>
              </w:rPr>
            </w:pPr>
            <w:r>
              <w:rPr>
                <w:color w:val="0070C0"/>
              </w:rPr>
              <w:t>El cierre de las adquisiciones en este proyecto se enfocará en verificar que todos los recursos y actividades gestionados internamente cumplan con los requisitos y objetivos establecidos. Las siguientes acciones se llevarán a cabo para completar el proceso</w:t>
            </w:r>
            <w:r>
              <w:rPr>
                <w:color w:val="0070C0"/>
              </w:rPr>
              <w:t xml:space="preserve"> de cierre:</w:t>
            </w:r>
          </w:p>
          <w:p w:rsidR="00CA31AF" w:rsidRDefault="00D8490A">
            <w:pPr>
              <w:numPr>
                <w:ilvl w:val="0"/>
                <w:numId w:val="1"/>
              </w:numPr>
              <w:spacing w:before="180"/>
              <w:rPr>
                <w:color w:val="0070C0"/>
              </w:rPr>
            </w:pPr>
            <w:bookmarkStart w:id="1" w:name="_heading=h.gjdgxs" w:colFirst="0" w:colLast="0"/>
            <w:bookmarkEnd w:id="1"/>
            <w:r>
              <w:rPr>
                <w:b/>
                <w:color w:val="0070C0"/>
              </w:rPr>
              <w:t>Revisión Final de Entregables</w:t>
            </w:r>
            <w:r>
              <w:rPr>
                <w:color w:val="0070C0"/>
              </w:rPr>
              <w:t>: Cada adquisición (recurso o actividad) será evaluada para confirmar que cumple con los estándares de calidad y los requisitos definidos al inicio del proyecto.</w:t>
            </w:r>
          </w:p>
          <w:p w:rsidR="00CA31AF" w:rsidRDefault="00D8490A">
            <w:pPr>
              <w:numPr>
                <w:ilvl w:val="0"/>
                <w:numId w:val="1"/>
              </w:numPr>
              <w:rPr>
                <w:color w:val="0070C0"/>
              </w:rPr>
            </w:pPr>
            <w:r>
              <w:rPr>
                <w:b/>
                <w:color w:val="0070C0"/>
              </w:rPr>
              <w:t>Documentación de Resultados</w:t>
            </w:r>
            <w:r>
              <w:rPr>
                <w:color w:val="0070C0"/>
              </w:rPr>
              <w:t>: Se generará un informe d</w:t>
            </w:r>
            <w:r>
              <w:rPr>
                <w:color w:val="0070C0"/>
              </w:rPr>
              <w:t>e cierre detallando los resultados de cada adquisición, incluyendo el cumplimiento de los plazos, la calidad alcanzada y cualquier desviación corregida durante el proceso. Esta documentación servirá como referencia para futuras evaluaciones o proyectos.</w:t>
            </w:r>
          </w:p>
          <w:p w:rsidR="00CA31AF" w:rsidRDefault="00D8490A">
            <w:pPr>
              <w:numPr>
                <w:ilvl w:val="0"/>
                <w:numId w:val="1"/>
              </w:numPr>
              <w:rPr>
                <w:color w:val="0070C0"/>
              </w:rPr>
            </w:pPr>
            <w:r>
              <w:rPr>
                <w:b/>
                <w:color w:val="0070C0"/>
              </w:rPr>
              <w:t>Re</w:t>
            </w:r>
            <w:r>
              <w:rPr>
                <w:b/>
                <w:color w:val="0070C0"/>
              </w:rPr>
              <w:t>troalimentación y Lecciones Aprendidas</w:t>
            </w:r>
            <w:r>
              <w:rPr>
                <w:color w:val="0070C0"/>
              </w:rPr>
              <w:t xml:space="preserve">: El equipo de proyecto realizará una sesión de retroalimentación para identificar áreas de mejora en el proceso de adquisiciones. Las lecciones aprendidas se documentarán para optimizar futuros proyectos, enfocándose </w:t>
            </w:r>
            <w:r>
              <w:rPr>
                <w:color w:val="0070C0"/>
              </w:rPr>
              <w:t>en prácticas de gestión interna y optimización de recursos.</w:t>
            </w:r>
          </w:p>
          <w:p w:rsidR="00CA31AF" w:rsidRDefault="00D8490A">
            <w:pPr>
              <w:numPr>
                <w:ilvl w:val="0"/>
                <w:numId w:val="1"/>
              </w:numPr>
              <w:rPr>
                <w:color w:val="0070C0"/>
              </w:rPr>
            </w:pPr>
            <w:r>
              <w:rPr>
                <w:b/>
                <w:color w:val="0070C0"/>
              </w:rPr>
              <w:t>Actualización de Archivos y Trazabilidad</w:t>
            </w:r>
            <w:r>
              <w:rPr>
                <w:color w:val="0070C0"/>
              </w:rPr>
              <w:t>: Se revisarán y actualizarán todos los documentos y archivos de trazabilidad, asegurando que la información está completa y organizada. Esto incluye la tra</w:t>
            </w:r>
            <w:r>
              <w:rPr>
                <w:color w:val="0070C0"/>
              </w:rPr>
              <w:t>zabilidad de requisitos, resultados de pruebas y auditorías de calidad.</w:t>
            </w:r>
          </w:p>
          <w:p w:rsidR="00CA31AF" w:rsidRDefault="00D8490A">
            <w:pPr>
              <w:numPr>
                <w:ilvl w:val="0"/>
                <w:numId w:val="1"/>
              </w:numPr>
              <w:spacing w:after="180"/>
              <w:rPr>
                <w:color w:val="0070C0"/>
              </w:rPr>
            </w:pPr>
            <w:r>
              <w:rPr>
                <w:b/>
                <w:color w:val="0070C0"/>
              </w:rPr>
              <w:t>Validación y Aprobación Final</w:t>
            </w:r>
            <w:r>
              <w:rPr>
                <w:color w:val="0070C0"/>
              </w:rPr>
              <w:t>: El Director del Proyecto revisará y aprobará el cierre de cada adquisición, asegurando que todos los recursos cumplen con los objetivos y que el proyecto</w:t>
            </w:r>
            <w:r>
              <w:rPr>
                <w:color w:val="0070C0"/>
              </w:rPr>
              <w:t xml:space="preserve"> está listo para la entrega final.</w:t>
            </w:r>
          </w:p>
          <w:p w:rsidR="00CA31AF" w:rsidRDefault="00D8490A">
            <w:pPr>
              <w:spacing w:before="180" w:after="180"/>
              <w:rPr>
                <w:color w:val="0070C0"/>
              </w:rPr>
            </w:pPr>
            <w:r>
              <w:rPr>
                <w:b/>
                <w:color w:val="0070C0"/>
              </w:rPr>
              <w:t>Responsables del Cierre</w:t>
            </w:r>
            <w:r>
              <w:rPr>
                <w:color w:val="0070C0"/>
              </w:rPr>
              <w:t>: El Director del Proyecto, junto con el equipo de QA y los responsables de cada área, liderarán el proceso de cierre y validación de adquisiciones.</w:t>
            </w:r>
          </w:p>
        </w:tc>
      </w:tr>
    </w:tbl>
    <w:p w:rsidR="00CA31AF" w:rsidRDefault="00CA31AF"/>
    <w:sectPr w:rsidR="00CA31AF">
      <w:headerReference w:type="default" r:id="rId9"/>
      <w:footerReference w:type="default" r:id="rId10"/>
      <w:headerReference w:type="first" r:id="rId11"/>
      <w:footerReference w:type="first" r:id="rId12"/>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90A" w:rsidRDefault="00D8490A">
      <w:pPr>
        <w:spacing w:line="240" w:lineRule="auto"/>
      </w:pPr>
      <w:r>
        <w:separator/>
      </w:r>
    </w:p>
  </w:endnote>
  <w:endnote w:type="continuationSeparator" w:id="0">
    <w:p w:rsidR="00D8490A" w:rsidRDefault="00D84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1AF" w:rsidRDefault="00D8490A">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t xml:space="preserve">Página </w:t>
    </w:r>
    <w:r>
      <w:rPr>
        <w:color w:val="000000"/>
      </w:rPr>
      <w:fldChar w:fldCharType="begin"/>
    </w:r>
    <w:r>
      <w:rPr>
        <w:color w:val="000000"/>
      </w:rPr>
      <w:instrText>PAGE</w:instrText>
    </w:r>
    <w:r w:rsidR="0059222A">
      <w:rPr>
        <w:color w:val="000000"/>
      </w:rPr>
      <w:fldChar w:fldCharType="separate"/>
    </w:r>
    <w:r w:rsidR="0059222A">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sidR="0059222A">
      <w:rPr>
        <w:color w:val="000000"/>
      </w:rPr>
      <w:fldChar w:fldCharType="separate"/>
    </w:r>
    <w:r w:rsidR="0059222A">
      <w:rPr>
        <w:noProof/>
        <w:color w:val="000000"/>
      </w:rPr>
      <w:t>2</w:t>
    </w:r>
    <w:r>
      <w:rPr>
        <w:color w:val="000000"/>
      </w:rPr>
      <w:fldChar w:fldCharType="end"/>
    </w:r>
  </w:p>
  <w:p w:rsidR="00CA31AF" w:rsidRDefault="00D8490A">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000000"/>
      </w:rPr>
    </w:pPr>
    <w:r>
      <w:rPr>
        <w:rFonts w:ascii="Balthazar" w:eastAsia="Balthazar" w:hAnsi="Balthazar" w:cs="Balthazar"/>
        <w:b/>
        <w:color w:val="000000"/>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1AF" w:rsidRDefault="00CA31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90A" w:rsidRDefault="00D8490A">
      <w:pPr>
        <w:spacing w:line="240" w:lineRule="auto"/>
      </w:pPr>
      <w:r>
        <w:separator/>
      </w:r>
    </w:p>
  </w:footnote>
  <w:footnote w:type="continuationSeparator" w:id="0">
    <w:p w:rsidR="00D8490A" w:rsidRDefault="00D84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1AF" w:rsidRDefault="00D8490A">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PLAN DE GESTIÓN DE LAS ADQUISICIONES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1AF" w:rsidRDefault="00CA31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2E9"/>
    <w:multiLevelType w:val="multilevel"/>
    <w:tmpl w:val="3D36A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8E2E30"/>
    <w:multiLevelType w:val="multilevel"/>
    <w:tmpl w:val="2FB6E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106C7F"/>
    <w:multiLevelType w:val="multilevel"/>
    <w:tmpl w:val="1F66F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4CA1C6A"/>
    <w:multiLevelType w:val="multilevel"/>
    <w:tmpl w:val="A4DAE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7629C0"/>
    <w:multiLevelType w:val="multilevel"/>
    <w:tmpl w:val="EE3AA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33150B0"/>
    <w:multiLevelType w:val="multilevel"/>
    <w:tmpl w:val="77742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1AF"/>
    <w:rsid w:val="0059222A"/>
    <w:rsid w:val="00CA31AF"/>
    <w:rsid w:val="00D84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5CFA"/>
  <w15:docId w15:val="{8A15B455-B804-4325-BE87-31643EAD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A"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table" w:customStyle="1" w:styleId="a9">
    <w:basedOn w:val="TableNormal0"/>
    <w:pPr>
      <w:spacing w:line="240" w:lineRule="auto"/>
    </w:pPr>
    <w:tblPr>
      <w:tblStyleRowBandSize w:val="1"/>
      <w:tblStyleColBandSize w:val="1"/>
      <w:tblCellMar>
        <w:left w:w="108" w:type="dxa"/>
        <w:right w:w="108" w:type="dxa"/>
      </w:tblCellMar>
    </w:tblPr>
  </w:style>
  <w:style w:type="table" w:customStyle="1" w:styleId="aa">
    <w:basedOn w:val="TableNormal0"/>
    <w:pPr>
      <w:spacing w:line="240" w:lineRule="auto"/>
    </w:pPr>
    <w:tblPr>
      <w:tblStyleRowBandSize w:val="1"/>
      <w:tblStyleColBandSize w:val="1"/>
      <w:tblCellMar>
        <w:left w:w="108" w:type="dxa"/>
        <w:right w:w="108" w:type="dxa"/>
      </w:tblCellMar>
    </w:tblPr>
  </w:style>
  <w:style w:type="table" w:customStyle="1" w:styleId="ab">
    <w:basedOn w:val="TableNormal0"/>
    <w:pPr>
      <w:spacing w:line="240" w:lineRule="auto"/>
    </w:pPr>
    <w:tblPr>
      <w:tblStyleRowBandSize w:val="1"/>
      <w:tblStyleColBandSize w:val="1"/>
      <w:tblCellMar>
        <w:left w:w="108" w:type="dxa"/>
        <w:right w:w="108" w:type="dxa"/>
      </w:tblCellMar>
    </w:tblPr>
  </w:style>
  <w:style w:type="table" w:customStyle="1" w:styleId="ac">
    <w:basedOn w:val="TableNormal0"/>
    <w:pPr>
      <w:spacing w:line="240" w:lineRule="auto"/>
    </w:pPr>
    <w:tblPr>
      <w:tblStyleRowBandSize w:val="1"/>
      <w:tblStyleColBandSize w:val="1"/>
      <w:tblCellMar>
        <w:left w:w="108" w:type="dxa"/>
        <w:right w:w="108" w:type="dxa"/>
      </w:tblCellMar>
    </w:tblPr>
  </w:style>
  <w:style w:type="table" w:customStyle="1" w:styleId="ad">
    <w:basedOn w:val="TableNormal0"/>
    <w:pPr>
      <w:spacing w:line="240" w:lineRule="auto"/>
    </w:pPr>
    <w:tblPr>
      <w:tblStyleRowBandSize w:val="1"/>
      <w:tblStyleColBandSize w:val="1"/>
      <w:tblCellMar>
        <w:left w:w="108" w:type="dxa"/>
        <w:right w:w="108" w:type="dxa"/>
      </w:tblCellMar>
    </w:tblPr>
  </w:style>
  <w:style w:type="table" w:customStyle="1" w:styleId="ae">
    <w:basedOn w:val="TableNormal0"/>
    <w:pPr>
      <w:spacing w:line="240" w:lineRule="auto"/>
    </w:pPr>
    <w:tblPr>
      <w:tblStyleRowBandSize w:val="1"/>
      <w:tblStyleColBandSize w:val="1"/>
      <w:tblCellMar>
        <w:left w:w="108" w:type="dxa"/>
        <w:right w:w="108" w:type="dxa"/>
      </w:tblCellMar>
    </w:tblPr>
  </w:style>
  <w:style w:type="table" w:customStyle="1" w:styleId="af">
    <w:basedOn w:val="TableNormal0"/>
    <w:pPr>
      <w:spacing w:line="240" w:lineRule="auto"/>
    </w:pPr>
    <w:tblPr>
      <w:tblStyleRowBandSize w:val="1"/>
      <w:tblStyleColBandSize w:val="1"/>
      <w:tblCellMar>
        <w:left w:w="108" w:type="dxa"/>
        <w:right w:w="108" w:type="dxa"/>
      </w:tblCellMar>
    </w:tblPr>
  </w:style>
  <w:style w:type="table" w:customStyle="1" w:styleId="af0">
    <w:basedOn w:val="TableNormal0"/>
    <w:pPr>
      <w:spacing w:line="240" w:lineRule="auto"/>
    </w:pPr>
    <w:tblPr>
      <w:tblStyleRowBandSize w:val="1"/>
      <w:tblStyleColBandSize w:val="1"/>
      <w:tblCellMar>
        <w:left w:w="108" w:type="dxa"/>
        <w:right w:w="108" w:type="dxa"/>
      </w:tblCellMar>
    </w:tblPr>
  </w:style>
  <w:style w:type="table" w:customStyle="1" w:styleId="af1">
    <w:basedOn w:val="TableNormal0"/>
    <w:pPr>
      <w:spacing w:line="240" w:lineRule="auto"/>
    </w:pPr>
    <w:tblPr>
      <w:tblStyleRowBandSize w:val="1"/>
      <w:tblStyleColBandSize w:val="1"/>
      <w:tblCellMar>
        <w:left w:w="108" w:type="dxa"/>
        <w:right w:w="108" w:type="dxa"/>
      </w:tblCellMar>
    </w:tblPr>
  </w:style>
  <w:style w:type="table" w:customStyle="1" w:styleId="af2">
    <w:basedOn w:val="TableNormal0"/>
    <w:pPr>
      <w:spacing w:line="240" w:lineRule="auto"/>
    </w:pPr>
    <w:tblPr>
      <w:tblStyleRowBandSize w:val="1"/>
      <w:tblStyleColBandSize w:val="1"/>
      <w:tblCellMar>
        <w:left w:w="108" w:type="dxa"/>
        <w:right w:w="108" w:type="dxa"/>
      </w:tblCellMar>
    </w:tblPr>
  </w:style>
  <w:style w:type="table" w:customStyle="1" w:styleId="af3">
    <w:basedOn w:val="TableNormal0"/>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table" w:customStyle="1" w:styleId="af5">
    <w:basedOn w:val="TableNormal0"/>
    <w:pPr>
      <w:spacing w:line="240" w:lineRule="auto"/>
    </w:pPr>
    <w:tblPr>
      <w:tblStyleRowBandSize w:val="1"/>
      <w:tblStyleColBandSize w:val="1"/>
      <w:tblCellMar>
        <w:left w:w="108" w:type="dxa"/>
        <w:right w:w="108" w:type="dxa"/>
      </w:tblCellMar>
    </w:tblPr>
  </w:style>
  <w:style w:type="table" w:customStyle="1" w:styleId="af6">
    <w:basedOn w:val="TableNormal0"/>
    <w:pPr>
      <w:spacing w:line="240" w:lineRule="auto"/>
    </w:pPr>
    <w:tblPr>
      <w:tblStyleRowBandSize w:val="1"/>
      <w:tblStyleColBandSize w:val="1"/>
      <w:tblCellMar>
        <w:left w:w="108" w:type="dxa"/>
        <w:right w:w="108" w:type="dxa"/>
      </w:tblCellMar>
    </w:tblPr>
  </w:style>
  <w:style w:type="table" w:customStyle="1" w:styleId="af7">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GD3aS5wWLOTUHO67enck+VaNVQ==">CgMxLjAyCGguZ2pkZ3hzOAByITFfNVBrS2twdFFqVHA3U1FacmVsRnFfZ3BRY3pGUzVwWA==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1569</Words>
  <Characters>8632</Characters>
  <Application>Microsoft Office Word</Application>
  <DocSecurity>0</DocSecurity>
  <Lines>71</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 Cordero</dc:creator>
  <cp:lastModifiedBy>ALVARO CHICO CASTELLANO</cp:lastModifiedBy>
  <cp:revision>2</cp:revision>
  <dcterms:created xsi:type="dcterms:W3CDTF">2015-10-20T22:35:00Z</dcterms:created>
  <dcterms:modified xsi:type="dcterms:W3CDTF">2024-11-05T15:55:00Z</dcterms:modified>
</cp:coreProperties>
</file>