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Medical Practice Platform</w:t>
      </w:r>
    </w:p>
    <w:p>
      <w:pPr>
        <w:jc w:val="center"/>
      </w:pPr>
      <w:r>
        <w:rPr>
          <w:i/>
          <w:sz w:val="22"/>
        </w:rPr>
        <w:t>Product Requirements &amp; Architecture Brief — Living Document</w:t>
      </w:r>
    </w:p>
    <w:p>
      <w:pPr>
        <w:jc w:val="center"/>
      </w:pPr>
      <w:r>
        <w:rPr>
          <w:b/>
        </w:rPr>
        <w:t>Current scope: bariatrics first, architecture reusable across medical specialties</w:t>
      </w:r>
    </w:p>
    <w:p/>
    <w:p>
      <w:pPr>
        <w:pStyle w:val="Heading1"/>
      </w:pPr>
      <w:r>
        <w:t>1. Purpose of this document</w:t>
      </w:r>
    </w:p>
    <w:p>
      <w:r>
        <w:t>This document is the project source of truth. It is intended to remain useful even if the original planning conversation is unavailable. It explains what the application must do, what it should not do yet, the architecture to follow, the sequence in which to implement it, and the reasoning behind the major decisions.</w:t>
      </w:r>
    </w:p>
    <w:p>
      <w:pPr>
        <w:pStyle w:val="Heading1"/>
      </w:pPr>
      <w:r>
        <w:t>2. Product vision</w:t>
      </w:r>
    </w:p>
    <w:p>
      <w:r>
        <w:t>Build a secure web application for independent or small-practice doctors to manage patients, consultations, clinical progress, and specialty-specific information. All doctors use the same base application, but each doctor only sees patients and records they are authorized to access. The application initially supports a bariatric practice, but the design must allow additional specialties later without rewriting the shared platform.</w:t>
      </w:r>
    </w:p>
    <w:p>
      <w:pPr>
        <w:pStyle w:val="Heading1"/>
      </w:pPr>
      <w:r>
        <w:t>3. Guiding product principles</w:t>
      </w:r>
    </w:p>
    <w:p>
      <w:pPr>
        <w:pStyle w:val="ListBullet"/>
      </w:pPr>
      <w:r>
        <w:t>Bariatrics first; architecture for many specialties.</w:t>
      </w:r>
    </w:p>
    <w:p>
      <w:pPr>
        <w:pStyle w:val="ListBullet"/>
      </w:pPr>
      <w:r>
        <w:t>A real clinical workflow is more important than speculative features.</w:t>
      </w:r>
    </w:p>
    <w:p>
      <w:pPr>
        <w:pStyle w:val="ListBullet"/>
      </w:pPr>
      <w:r>
        <w:t>Longitudinal patient history is a first-class concept.</w:t>
      </w:r>
    </w:p>
    <w:p>
      <w:pPr>
        <w:pStyle w:val="ListBullet"/>
      </w:pPr>
      <w:r>
        <w:t>Backend authorization is mandatory; frontend hiding is never considered access control.</w:t>
      </w:r>
    </w:p>
    <w:p>
      <w:pPr>
        <w:pStyle w:val="ListBullet"/>
      </w:pPr>
      <w:r>
        <w:t>The Excel form informs the workflow, but its sheet layout must not dictate the database schema.</w:t>
      </w:r>
    </w:p>
    <w:p>
      <w:pPr>
        <w:pStyle w:val="ListBullet"/>
      </w:pPr>
      <w:r>
        <w:t>Prefer explicit, maintainable code over clever abstractions.</w:t>
      </w:r>
    </w:p>
    <w:p>
      <w:pPr>
        <w:pStyle w:val="ListBullet"/>
      </w:pPr>
      <w:r>
        <w:t>Use a modular monolith; do not introduce microservices.</w:t>
      </w:r>
    </w:p>
    <w:p>
      <w:pPr>
        <w:pStyle w:val="ListBullet"/>
      </w:pPr>
      <w:r>
        <w:t>Do not build a dynamic form engine for the first release.</w:t>
      </w:r>
    </w:p>
    <w:p>
      <w:pPr>
        <w:pStyle w:val="ListBullet"/>
      </w:pPr>
      <w:r>
        <w:t>Flyway owns database schema changes; Hibernate validates the schema.</w:t>
      </w:r>
    </w:p>
    <w:p>
      <w:pPr>
        <w:pStyle w:val="ListBullet"/>
      </w:pPr>
      <w:r>
        <w:t>Real patient data and portfolio/demo data must remain strictly separated.</w:t>
      </w:r>
    </w:p>
    <w:p>
      <w:pPr>
        <w:pStyle w:val="Heading1"/>
      </w:pPr>
      <w:r>
        <w:t>4. User roles and access model</w:t>
      </w:r>
    </w:p>
    <w:p>
      <w:pPr>
        <w:pStyle w:val="Heading2"/>
      </w:pPr>
      <w:r>
        <w:t>4.1 Doctor</w:t>
      </w:r>
    </w:p>
    <w:p>
      <w:r>
        <w:t>A doctor is an authenticated application user. A doctor has a specialty and may have relationships with many patients. A doctor must only be able to access patients and clinical records for which that doctor has an active relationship.</w:t>
      </w:r>
    </w:p>
    <w:p>
      <w:pPr>
        <w:pStyle w:val="Heading2"/>
      </w:pPr>
      <w:r>
        <w:t>4.2 Patient ownership / doctor-patient relationship</w:t>
      </w:r>
    </w:p>
    <w:p>
      <w:r>
        <w:t>Do not place a single doctor_id directly on the patient as the only ownership mechanism. Model the relationship explicitly so the system can later support the same person receiving care from more than one doctor or specialty.</w:t>
      </w:r>
    </w:p>
    <w:p>
      <w:pPr>
        <w:ind w:left="360"/>
      </w:pPr>
      <w:r>
        <w:rPr>
          <w:rFonts w:ascii="Courier New" w:hAnsi="Courier New"/>
          <w:sz w:val="18"/>
        </w:rPr>
        <w:t>Doctor  * ---- *  Patient</w:t>
        <w:br/>
        <w:t xml:space="preserve">          via DoctorPatient</w:t>
        <w:br/>
        <w:br/>
        <w:t>DoctorPatient</w:t>
        <w:br/>
        <w:t>- doctor_id</w:t>
        <w:br/>
        <w:t>- patient_id</w:t>
        <w:br/>
        <w:t>- created_at</w:t>
        <w:br/>
        <w:t>- active</w:t>
      </w:r>
    </w:p>
    <w:p>
      <w:r>
        <w:t>Clinical records created by one doctor are not automatically shared with another doctor. Future record-sharing, referrals, or clinic-wide visibility may be added deliberately later.</w:t>
      </w:r>
    </w:p>
    <w:p>
      <w:pPr>
        <w:pStyle w:val="Heading2"/>
      </w:pPr>
      <w:r>
        <w:t>4.3 Authorization rule</w:t>
      </w:r>
    </w:p>
    <w:p>
      <w:r>
        <w:t>Every backend operation that reads or modifies a patient-scoped resource must prove that the authenticated doctor has access to that patient. A direct request to an arbitrary patient ID must never bypass this rule.</w:t>
      </w:r>
    </w:p>
    <w:p>
      <w:pPr>
        <w:ind w:left="360"/>
      </w:pPr>
      <w:r>
        <w:rPr>
          <w:rFonts w:ascii="Courier New" w:hAnsi="Courier New"/>
          <w:sz w:val="18"/>
        </w:rPr>
        <w:t>Example concept: find patient by patientId + authenticatedDoctorId, or enforce equivalent service-level authorization.</w:t>
      </w:r>
    </w:p>
    <w:p>
      <w:pPr>
        <w:pStyle w:val="Heading1"/>
      </w:pPr>
      <w:r>
        <w:t>5. Specialty model</w:t>
      </w:r>
    </w:p>
    <w:p>
      <w:r>
        <w:t>The shared platform contains common patient and consultation concepts. Specialty-specific clinical data is attached to the shared consultation rather than forcing every specialty field into one enormous table.</w:t>
      </w:r>
    </w:p>
    <w:p>
      <w:pPr>
        <w:ind w:left="360"/>
      </w:pPr>
      <w:r>
        <w:rPr>
          <w:rFonts w:ascii="Courier New" w:hAnsi="Courier New"/>
          <w:sz w:val="18"/>
        </w:rPr>
        <w:t>Doctor</w:t>
        <w:br/>
        <w:t xml:space="preserve"> └── Specialization</w:t>
        <w:br/>
        <w:t xml:space="preserve">      └── determines specialty workflow</w:t>
        <w:br/>
        <w:br/>
        <w:t>Patient</w:t>
        <w:br/>
        <w:t xml:space="preserve"> └── Consultation</w:t>
        <w:br/>
        <w:t xml:space="preserve">      ├── shared consultation data</w:t>
        <w:br/>
        <w:t xml:space="preserve">      └── specialty-specific data</w:t>
        <w:br/>
        <w:t xml:space="preserve">           ├── BariatricConsultationData</w:t>
        <w:br/>
        <w:t xml:space="preserve">           ├── CardiologyConsultationData      (future)</w:t>
        <w:br/>
        <w:t xml:space="preserve">           └── DermatologyConsultationData     (future)</w:t>
      </w:r>
    </w:p>
    <w:p>
      <w:r>
        <w:t>In the frontend, specialty-specific screens/components can be selected using the authenticated doctor's specialization. Do not build a metadata-driven form engine initially. Reusable UI components are encouraged, but specialty forms may be explicit components.</w:t>
      </w:r>
    </w:p>
    <w:p>
      <w:pPr>
        <w:pStyle w:val="Heading1"/>
      </w:pPr>
      <w:r>
        <w:t>6. Core domain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Entity / Area</w:t>
            </w:r>
          </w:p>
        </w:tc>
        <w:tc>
          <w:tcPr>
            <w:tcW w:type="dxa" w:w="3312"/>
            <w:vAlign w:val="center"/>
            <w:shd w:fill="D9EAF7"/>
          </w:tcPr>
          <w:p>
            <w:r/>
            <w:r>
              <w:rPr>
                <w:rFonts w:ascii="Aptos" w:hAnsi="Aptos"/>
                <w:b/>
                <w:sz w:val="19"/>
              </w:rPr>
              <w:t>Responsibility</w:t>
            </w:r>
          </w:p>
        </w:tc>
        <w:tc>
          <w:tcPr>
            <w:tcW w:type="dxa" w:w="3312"/>
            <w:vAlign w:val="center"/>
            <w:shd w:fill="D9EAF7"/>
          </w:tcPr>
          <w:p>
            <w:r/>
            <w:r>
              <w:rPr>
                <w:rFonts w:ascii="Aptos" w:hAnsi="Aptos"/>
                <w:b/>
                <w:sz w:val="19"/>
              </w:rPr>
              <w:t>Time behavior</w:t>
            </w:r>
          </w:p>
        </w:tc>
      </w:tr>
      <w:tr>
        <w:tc>
          <w:tcPr>
            <w:tcW w:type="dxa" w:w="3312"/>
            <w:vAlign w:val="center"/>
          </w:tcPr>
          <w:p>
            <w:r/>
            <w:r>
              <w:rPr>
                <w:rFonts w:ascii="Aptos" w:hAnsi="Aptos"/>
                <w:b w:val="0"/>
                <w:sz w:val="19"/>
              </w:rPr>
              <w:t>Doctor</w:t>
            </w:r>
          </w:p>
        </w:tc>
        <w:tc>
          <w:tcPr>
            <w:tcW w:type="dxa" w:w="3312"/>
            <w:vAlign w:val="center"/>
          </w:tcPr>
          <w:p>
            <w:r/>
            <w:r>
              <w:rPr>
                <w:rFonts w:ascii="Aptos" w:hAnsi="Aptos"/>
                <w:b w:val="0"/>
                <w:sz w:val="19"/>
              </w:rPr>
              <w:t>Authenticated medical professional using the platform</w:t>
            </w:r>
          </w:p>
        </w:tc>
        <w:tc>
          <w:tcPr>
            <w:tcW w:type="dxa" w:w="3312"/>
            <w:vAlign w:val="center"/>
          </w:tcPr>
          <w:p>
            <w:r/>
            <w:r>
              <w:rPr>
                <w:rFonts w:ascii="Aptos" w:hAnsi="Aptos"/>
                <w:b w:val="0"/>
                <w:sz w:val="19"/>
              </w:rPr>
              <w:t>Long-lived</w:t>
            </w:r>
          </w:p>
        </w:tc>
      </w:tr>
      <w:tr>
        <w:tc>
          <w:tcPr>
            <w:tcW w:type="dxa" w:w="3312"/>
            <w:vAlign w:val="center"/>
          </w:tcPr>
          <w:p>
            <w:r/>
            <w:r>
              <w:rPr>
                <w:rFonts w:ascii="Aptos" w:hAnsi="Aptos"/>
                <w:b w:val="0"/>
                <w:sz w:val="19"/>
              </w:rPr>
              <w:t>Specialization</w:t>
            </w:r>
          </w:p>
        </w:tc>
        <w:tc>
          <w:tcPr>
            <w:tcW w:type="dxa" w:w="3312"/>
            <w:vAlign w:val="center"/>
          </w:tcPr>
          <w:p>
            <w:r/>
            <w:r>
              <w:rPr>
                <w:rFonts w:ascii="Aptos" w:hAnsi="Aptos"/>
                <w:b w:val="0"/>
                <w:sz w:val="19"/>
              </w:rPr>
              <w:t>Determines specialty-specific workflow</w:t>
            </w:r>
          </w:p>
        </w:tc>
        <w:tc>
          <w:tcPr>
            <w:tcW w:type="dxa" w:w="3312"/>
            <w:vAlign w:val="center"/>
          </w:tcPr>
          <w:p>
            <w:r/>
            <w:r>
              <w:rPr>
                <w:rFonts w:ascii="Aptos" w:hAnsi="Aptos"/>
                <w:b w:val="0"/>
                <w:sz w:val="19"/>
              </w:rPr>
              <w:t>Rarely changes</w:t>
            </w:r>
          </w:p>
        </w:tc>
      </w:tr>
      <w:tr>
        <w:tc>
          <w:tcPr>
            <w:tcW w:type="dxa" w:w="3312"/>
            <w:vAlign w:val="center"/>
          </w:tcPr>
          <w:p>
            <w:r/>
            <w:r>
              <w:rPr>
                <w:rFonts w:ascii="Aptos" w:hAnsi="Aptos"/>
                <w:b w:val="0"/>
                <w:sz w:val="19"/>
              </w:rPr>
              <w:t>Patient</w:t>
            </w:r>
          </w:p>
        </w:tc>
        <w:tc>
          <w:tcPr>
            <w:tcW w:type="dxa" w:w="3312"/>
            <w:vAlign w:val="center"/>
          </w:tcPr>
          <w:p>
            <w:r/>
            <w:r>
              <w:rPr>
                <w:rFonts w:ascii="Aptos" w:hAnsi="Aptos"/>
                <w:b w:val="0"/>
                <w:sz w:val="19"/>
              </w:rPr>
              <w:t>Shared demographic / identity record</w:t>
            </w:r>
          </w:p>
        </w:tc>
        <w:tc>
          <w:tcPr>
            <w:tcW w:type="dxa" w:w="3312"/>
            <w:vAlign w:val="center"/>
          </w:tcPr>
          <w:p>
            <w:r/>
            <w:r>
              <w:rPr>
                <w:rFonts w:ascii="Aptos" w:hAnsi="Aptos"/>
                <w:b w:val="0"/>
                <w:sz w:val="19"/>
              </w:rPr>
              <w:t>Relatively stable</w:t>
            </w:r>
          </w:p>
        </w:tc>
      </w:tr>
      <w:tr>
        <w:tc>
          <w:tcPr>
            <w:tcW w:type="dxa" w:w="3312"/>
            <w:vAlign w:val="center"/>
          </w:tcPr>
          <w:p>
            <w:r/>
            <w:r>
              <w:rPr>
                <w:rFonts w:ascii="Aptos" w:hAnsi="Aptos"/>
                <w:b w:val="0"/>
                <w:sz w:val="19"/>
              </w:rPr>
              <w:t>DoctorPatient</w:t>
            </w:r>
          </w:p>
        </w:tc>
        <w:tc>
          <w:tcPr>
            <w:tcW w:type="dxa" w:w="3312"/>
            <w:vAlign w:val="center"/>
          </w:tcPr>
          <w:p>
            <w:r/>
            <w:r>
              <w:rPr>
                <w:rFonts w:ascii="Aptos" w:hAnsi="Aptos"/>
                <w:b w:val="0"/>
                <w:sz w:val="19"/>
              </w:rPr>
              <w:t>Authorization relationship between doctor and patient</w:t>
            </w:r>
          </w:p>
        </w:tc>
        <w:tc>
          <w:tcPr>
            <w:tcW w:type="dxa" w:w="3312"/>
            <w:vAlign w:val="center"/>
          </w:tcPr>
          <w:p>
            <w:r/>
            <w:r>
              <w:rPr>
                <w:rFonts w:ascii="Aptos" w:hAnsi="Aptos"/>
                <w:b w:val="0"/>
                <w:sz w:val="19"/>
              </w:rPr>
              <w:t>Long-lived</w:t>
            </w:r>
          </w:p>
        </w:tc>
      </w:tr>
      <w:tr>
        <w:tc>
          <w:tcPr>
            <w:tcW w:type="dxa" w:w="3312"/>
            <w:vAlign w:val="center"/>
          </w:tcPr>
          <w:p>
            <w:r/>
            <w:r>
              <w:rPr>
                <w:rFonts w:ascii="Aptos" w:hAnsi="Aptos"/>
                <w:b w:val="0"/>
                <w:sz w:val="19"/>
              </w:rPr>
              <w:t>Consultation</w:t>
            </w:r>
          </w:p>
        </w:tc>
        <w:tc>
          <w:tcPr>
            <w:tcW w:type="dxa" w:w="3312"/>
            <w:vAlign w:val="center"/>
          </w:tcPr>
          <w:p>
            <w:r/>
            <w:r>
              <w:rPr>
                <w:rFonts w:ascii="Aptos" w:hAnsi="Aptos"/>
                <w:b w:val="0"/>
                <w:sz w:val="19"/>
              </w:rPr>
              <w:t>A dated clinical encounter</w:t>
            </w:r>
          </w:p>
        </w:tc>
        <w:tc>
          <w:tcPr>
            <w:tcW w:type="dxa" w:w="3312"/>
            <w:vAlign w:val="center"/>
          </w:tcPr>
          <w:p>
            <w:r/>
            <w:r>
              <w:rPr>
                <w:rFonts w:ascii="Aptos" w:hAnsi="Aptos"/>
                <w:b w:val="0"/>
                <w:sz w:val="19"/>
              </w:rPr>
              <w:t>Repeated over time</w:t>
            </w:r>
          </w:p>
        </w:tc>
      </w:tr>
      <w:tr>
        <w:tc>
          <w:tcPr>
            <w:tcW w:type="dxa" w:w="3312"/>
            <w:vAlign w:val="center"/>
          </w:tcPr>
          <w:p>
            <w:r/>
            <w:r>
              <w:rPr>
                <w:rFonts w:ascii="Aptos" w:hAnsi="Aptos"/>
                <w:b w:val="0"/>
                <w:sz w:val="19"/>
              </w:rPr>
              <w:t>AnthropometricMeasurement</w:t>
            </w:r>
          </w:p>
        </w:tc>
        <w:tc>
          <w:tcPr>
            <w:tcW w:type="dxa" w:w="3312"/>
            <w:vAlign w:val="center"/>
          </w:tcPr>
          <w:p>
            <w:r/>
            <w:r>
              <w:rPr>
                <w:rFonts w:ascii="Aptos" w:hAnsi="Aptos"/>
                <w:b w:val="0"/>
                <w:sz w:val="19"/>
              </w:rPr>
              <w:t>Weight, height, circumferences, body composition inputs/results</w:t>
            </w:r>
          </w:p>
        </w:tc>
        <w:tc>
          <w:tcPr>
            <w:tcW w:type="dxa" w:w="3312"/>
            <w:vAlign w:val="center"/>
          </w:tcPr>
          <w:p>
            <w:r/>
            <w:r>
              <w:rPr>
                <w:rFonts w:ascii="Aptos" w:hAnsi="Aptos"/>
                <w:b w:val="0"/>
                <w:sz w:val="19"/>
              </w:rPr>
              <w:t>Repeated per consultation</w:t>
            </w:r>
          </w:p>
        </w:tc>
      </w:tr>
      <w:tr>
        <w:tc>
          <w:tcPr>
            <w:tcW w:type="dxa" w:w="3312"/>
            <w:vAlign w:val="center"/>
          </w:tcPr>
          <w:p>
            <w:r/>
            <w:r>
              <w:rPr>
                <w:rFonts w:ascii="Aptos" w:hAnsi="Aptos"/>
                <w:b w:val="0"/>
                <w:sz w:val="19"/>
              </w:rPr>
              <w:t>ClinicalAssessment</w:t>
            </w:r>
          </w:p>
        </w:tc>
        <w:tc>
          <w:tcPr>
            <w:tcW w:type="dxa" w:w="3312"/>
            <w:vAlign w:val="center"/>
          </w:tcPr>
          <w:p>
            <w:r/>
            <w:r>
              <w:rPr>
                <w:rFonts w:ascii="Aptos" w:hAnsi="Aptos"/>
                <w:b w:val="0"/>
                <w:sz w:val="19"/>
              </w:rPr>
              <w:t>Symptoms, blood pressure, relevant observations</w:t>
            </w:r>
          </w:p>
        </w:tc>
        <w:tc>
          <w:tcPr>
            <w:tcW w:type="dxa" w:w="3312"/>
            <w:vAlign w:val="center"/>
          </w:tcPr>
          <w:p>
            <w:r/>
            <w:r>
              <w:rPr>
                <w:rFonts w:ascii="Aptos" w:hAnsi="Aptos"/>
                <w:b w:val="0"/>
                <w:sz w:val="19"/>
              </w:rPr>
              <w:t>Repeated per consultation</w:t>
            </w:r>
          </w:p>
        </w:tc>
      </w:tr>
      <w:tr>
        <w:tc>
          <w:tcPr>
            <w:tcW w:type="dxa" w:w="3312"/>
            <w:vAlign w:val="center"/>
          </w:tcPr>
          <w:p>
            <w:r/>
            <w:r>
              <w:rPr>
                <w:rFonts w:ascii="Aptos" w:hAnsi="Aptos"/>
                <w:b w:val="0"/>
                <w:sz w:val="19"/>
              </w:rPr>
              <w:t>DietaryAssessment</w:t>
            </w:r>
          </w:p>
        </w:tc>
        <w:tc>
          <w:tcPr>
            <w:tcW w:type="dxa" w:w="3312"/>
            <w:vAlign w:val="center"/>
          </w:tcPr>
          <w:p>
            <w:r/>
            <w:r>
              <w:rPr>
                <w:rFonts w:ascii="Aptos" w:hAnsi="Aptos"/>
                <w:b w:val="0"/>
                <w:sz w:val="19"/>
              </w:rPr>
              <w:t>Dietary habits and intake assessment</w:t>
            </w:r>
          </w:p>
        </w:tc>
        <w:tc>
          <w:tcPr>
            <w:tcW w:type="dxa" w:w="3312"/>
            <w:vAlign w:val="center"/>
          </w:tcPr>
          <w:p>
            <w:r/>
            <w:r>
              <w:rPr>
                <w:rFonts w:ascii="Aptos" w:hAnsi="Aptos"/>
                <w:b w:val="0"/>
                <w:sz w:val="19"/>
              </w:rPr>
              <w:t>Repeated / updated</w:t>
            </w:r>
          </w:p>
        </w:tc>
      </w:tr>
      <w:tr>
        <w:tc>
          <w:tcPr>
            <w:tcW w:type="dxa" w:w="3312"/>
            <w:vAlign w:val="center"/>
          </w:tcPr>
          <w:p>
            <w:r/>
            <w:r>
              <w:rPr>
                <w:rFonts w:ascii="Aptos" w:hAnsi="Aptos"/>
                <w:b w:val="0"/>
                <w:sz w:val="19"/>
              </w:rPr>
              <w:t>LifestyleAssessment</w:t>
            </w:r>
          </w:p>
        </w:tc>
        <w:tc>
          <w:tcPr>
            <w:tcW w:type="dxa" w:w="3312"/>
            <w:vAlign w:val="center"/>
          </w:tcPr>
          <w:p>
            <w:r/>
            <w:r>
              <w:rPr>
                <w:rFonts w:ascii="Aptos" w:hAnsi="Aptos"/>
                <w:b w:val="0"/>
                <w:sz w:val="19"/>
              </w:rPr>
              <w:t>Exercise, activity, habits</w:t>
            </w:r>
          </w:p>
        </w:tc>
        <w:tc>
          <w:tcPr>
            <w:tcW w:type="dxa" w:w="3312"/>
            <w:vAlign w:val="center"/>
          </w:tcPr>
          <w:p>
            <w:r/>
            <w:r>
              <w:rPr>
                <w:rFonts w:ascii="Aptos" w:hAnsi="Aptos"/>
                <w:b w:val="0"/>
                <w:sz w:val="19"/>
              </w:rPr>
              <w:t>Repeated / updated</w:t>
            </w:r>
          </w:p>
        </w:tc>
      </w:tr>
      <w:tr>
        <w:tc>
          <w:tcPr>
            <w:tcW w:type="dxa" w:w="3312"/>
            <w:vAlign w:val="center"/>
          </w:tcPr>
          <w:p>
            <w:r/>
            <w:r>
              <w:rPr>
                <w:rFonts w:ascii="Aptos" w:hAnsi="Aptos"/>
                <w:b w:val="0"/>
                <w:sz w:val="19"/>
              </w:rPr>
              <w:t>MedicalCondition</w:t>
            </w:r>
          </w:p>
        </w:tc>
        <w:tc>
          <w:tcPr>
            <w:tcW w:type="dxa" w:w="3312"/>
            <w:vAlign w:val="center"/>
          </w:tcPr>
          <w:p>
            <w:r/>
            <w:r>
              <w:rPr>
                <w:rFonts w:ascii="Aptos" w:hAnsi="Aptos"/>
                <w:b w:val="0"/>
                <w:sz w:val="19"/>
              </w:rPr>
              <w:t>Patient diagnoses / conditions</w:t>
            </w:r>
          </w:p>
        </w:tc>
        <w:tc>
          <w:tcPr>
            <w:tcW w:type="dxa" w:w="3312"/>
            <w:vAlign w:val="center"/>
          </w:tcPr>
          <w:p>
            <w:r/>
            <w:r>
              <w:rPr>
                <w:rFonts w:ascii="Aptos" w:hAnsi="Aptos"/>
                <w:b w:val="0"/>
                <w:sz w:val="19"/>
              </w:rPr>
              <w:t>Longitudinal</w:t>
            </w:r>
          </w:p>
        </w:tc>
      </w:tr>
      <w:tr>
        <w:tc>
          <w:tcPr>
            <w:tcW w:type="dxa" w:w="3312"/>
            <w:vAlign w:val="center"/>
          </w:tcPr>
          <w:p>
            <w:r/>
            <w:r>
              <w:rPr>
                <w:rFonts w:ascii="Aptos" w:hAnsi="Aptos"/>
                <w:b w:val="0"/>
                <w:sz w:val="19"/>
              </w:rPr>
              <w:t>Medication</w:t>
            </w:r>
          </w:p>
        </w:tc>
        <w:tc>
          <w:tcPr>
            <w:tcW w:type="dxa" w:w="3312"/>
            <w:vAlign w:val="center"/>
          </w:tcPr>
          <w:p>
            <w:r/>
            <w:r>
              <w:rPr>
                <w:rFonts w:ascii="Aptos" w:hAnsi="Aptos"/>
                <w:b w:val="0"/>
                <w:sz w:val="19"/>
              </w:rPr>
              <w:t>Medication history</w:t>
            </w:r>
          </w:p>
        </w:tc>
        <w:tc>
          <w:tcPr>
            <w:tcW w:type="dxa" w:w="3312"/>
            <w:vAlign w:val="center"/>
          </w:tcPr>
          <w:p>
            <w:r/>
            <w:r>
              <w:rPr>
                <w:rFonts w:ascii="Aptos" w:hAnsi="Aptos"/>
                <w:b w:val="0"/>
                <w:sz w:val="19"/>
              </w:rPr>
              <w:t>Longitudinal</w:t>
            </w:r>
          </w:p>
        </w:tc>
      </w:tr>
      <w:tr>
        <w:tc>
          <w:tcPr>
            <w:tcW w:type="dxa" w:w="3312"/>
            <w:vAlign w:val="center"/>
          </w:tcPr>
          <w:p>
            <w:r/>
            <w:r>
              <w:rPr>
                <w:rFonts w:ascii="Aptos" w:hAnsi="Aptos"/>
                <w:b w:val="0"/>
                <w:sz w:val="19"/>
              </w:rPr>
              <w:t>Surgery</w:t>
            </w:r>
          </w:p>
        </w:tc>
        <w:tc>
          <w:tcPr>
            <w:tcW w:type="dxa" w:w="3312"/>
            <w:vAlign w:val="center"/>
          </w:tcPr>
          <w:p>
            <w:r/>
            <w:r>
              <w:rPr>
                <w:rFonts w:ascii="Aptos" w:hAnsi="Aptos"/>
                <w:b w:val="0"/>
                <w:sz w:val="19"/>
              </w:rPr>
              <w:t>Relevant surgery history</w:t>
            </w:r>
          </w:p>
        </w:tc>
        <w:tc>
          <w:tcPr>
            <w:tcW w:type="dxa" w:w="3312"/>
            <w:vAlign w:val="center"/>
          </w:tcPr>
          <w:p>
            <w:r/>
            <w:r>
              <w:rPr>
                <w:rFonts w:ascii="Aptos" w:hAnsi="Aptos"/>
                <w:b w:val="0"/>
                <w:sz w:val="19"/>
              </w:rPr>
              <w:t>Historical</w:t>
            </w:r>
          </w:p>
        </w:tc>
      </w:tr>
      <w:tr>
        <w:tc>
          <w:tcPr>
            <w:tcW w:type="dxa" w:w="3312"/>
            <w:vAlign w:val="center"/>
          </w:tcPr>
          <w:p>
            <w:r/>
            <w:r>
              <w:rPr>
                <w:rFonts w:ascii="Aptos" w:hAnsi="Aptos"/>
                <w:b w:val="0"/>
                <w:sz w:val="19"/>
              </w:rPr>
              <w:t>FoodReaction</w:t>
            </w:r>
          </w:p>
        </w:tc>
        <w:tc>
          <w:tcPr>
            <w:tcW w:type="dxa" w:w="3312"/>
            <w:vAlign w:val="center"/>
          </w:tcPr>
          <w:p>
            <w:r/>
            <w:r>
              <w:rPr>
                <w:rFonts w:ascii="Aptos" w:hAnsi="Aptos"/>
                <w:b w:val="0"/>
                <w:sz w:val="19"/>
              </w:rPr>
              <w:t>Allergy/intolerance/discomfort record</w:t>
            </w:r>
          </w:p>
        </w:tc>
        <w:tc>
          <w:tcPr>
            <w:tcW w:type="dxa" w:w="3312"/>
            <w:vAlign w:val="center"/>
          </w:tcPr>
          <w:p>
            <w:r/>
            <w:r>
              <w:rPr>
                <w:rFonts w:ascii="Aptos" w:hAnsi="Aptos"/>
                <w:b w:val="0"/>
                <w:sz w:val="19"/>
              </w:rPr>
              <w:t>Longitudinal</w:t>
            </w:r>
          </w:p>
        </w:tc>
      </w:tr>
      <w:tr>
        <w:tc>
          <w:tcPr>
            <w:tcW w:type="dxa" w:w="3312"/>
            <w:vAlign w:val="center"/>
          </w:tcPr>
          <w:p>
            <w:r/>
            <w:r>
              <w:rPr>
                <w:rFonts w:ascii="Aptos" w:hAnsi="Aptos"/>
                <w:b w:val="0"/>
                <w:sz w:val="19"/>
              </w:rPr>
              <w:t>LaboratoryResult</w:t>
            </w:r>
          </w:p>
        </w:tc>
        <w:tc>
          <w:tcPr>
            <w:tcW w:type="dxa" w:w="3312"/>
            <w:vAlign w:val="center"/>
          </w:tcPr>
          <w:p>
            <w:r/>
            <w:r>
              <w:rPr>
                <w:rFonts w:ascii="Aptos" w:hAnsi="Aptos"/>
                <w:b w:val="0"/>
                <w:sz w:val="19"/>
              </w:rPr>
              <w:t>Structured biochemical results</w:t>
            </w:r>
          </w:p>
        </w:tc>
        <w:tc>
          <w:tcPr>
            <w:tcW w:type="dxa" w:w="3312"/>
            <w:vAlign w:val="center"/>
          </w:tcPr>
          <w:p>
            <w:r/>
            <w:r>
              <w:rPr>
                <w:rFonts w:ascii="Aptos" w:hAnsi="Aptos"/>
                <w:b w:val="0"/>
                <w:sz w:val="19"/>
              </w:rPr>
              <w:t>Repeated over time</w:t>
            </w:r>
          </w:p>
        </w:tc>
      </w:tr>
      <w:tr>
        <w:tc>
          <w:tcPr>
            <w:tcW w:type="dxa" w:w="3312"/>
            <w:vAlign w:val="center"/>
          </w:tcPr>
          <w:p>
            <w:r/>
            <w:r>
              <w:rPr>
                <w:rFonts w:ascii="Aptos" w:hAnsi="Aptos"/>
                <w:b w:val="0"/>
                <w:sz w:val="19"/>
              </w:rPr>
              <w:t>NutritionalEvaluation</w:t>
            </w:r>
          </w:p>
        </w:tc>
        <w:tc>
          <w:tcPr>
            <w:tcW w:type="dxa" w:w="3312"/>
            <w:vAlign w:val="center"/>
          </w:tcPr>
          <w:p>
            <w:r/>
            <w:r>
              <w:rPr>
                <w:rFonts w:ascii="Aptos" w:hAnsi="Aptos"/>
                <w:b w:val="0"/>
                <w:sz w:val="19"/>
              </w:rPr>
              <w:t>Professional interpretation</w:t>
            </w:r>
          </w:p>
        </w:tc>
        <w:tc>
          <w:tcPr>
            <w:tcW w:type="dxa" w:w="3312"/>
            <w:vAlign w:val="center"/>
          </w:tcPr>
          <w:p>
            <w:r/>
            <w:r>
              <w:rPr>
                <w:rFonts w:ascii="Aptos" w:hAnsi="Aptos"/>
                <w:b w:val="0"/>
                <w:sz w:val="19"/>
              </w:rPr>
              <w:t>Per consultation</w:t>
            </w:r>
          </w:p>
        </w:tc>
      </w:tr>
      <w:tr>
        <w:tc>
          <w:tcPr>
            <w:tcW w:type="dxa" w:w="3312"/>
            <w:vAlign w:val="center"/>
          </w:tcPr>
          <w:p>
            <w:r/>
            <w:r>
              <w:rPr>
                <w:rFonts w:ascii="Aptos" w:hAnsi="Aptos"/>
                <w:b w:val="0"/>
                <w:sz w:val="19"/>
              </w:rPr>
              <w:t>NutritionalRequirement</w:t>
            </w:r>
          </w:p>
        </w:tc>
        <w:tc>
          <w:tcPr>
            <w:tcW w:type="dxa" w:w="3312"/>
            <w:vAlign w:val="center"/>
          </w:tcPr>
          <w:p>
            <w:r/>
            <w:r>
              <w:rPr>
                <w:rFonts w:ascii="Aptos" w:hAnsi="Aptos"/>
                <w:b w:val="0"/>
                <w:sz w:val="19"/>
              </w:rPr>
              <w:t>Energy/macronutrient calculation outputs</w:t>
            </w:r>
          </w:p>
        </w:tc>
        <w:tc>
          <w:tcPr>
            <w:tcW w:type="dxa" w:w="3312"/>
            <w:vAlign w:val="center"/>
          </w:tcPr>
          <w:p>
            <w:r/>
            <w:r>
              <w:rPr>
                <w:rFonts w:ascii="Aptos" w:hAnsi="Aptos"/>
                <w:b w:val="0"/>
                <w:sz w:val="19"/>
              </w:rPr>
              <w:t>Per consultation</w:t>
            </w:r>
          </w:p>
        </w:tc>
      </w:tr>
      <w:tr>
        <w:tc>
          <w:tcPr>
            <w:tcW w:type="dxa" w:w="3312"/>
            <w:vAlign w:val="center"/>
          </w:tcPr>
          <w:p>
            <w:r/>
            <w:r>
              <w:rPr>
                <w:rFonts w:ascii="Aptos" w:hAnsi="Aptos"/>
                <w:b w:val="0"/>
                <w:sz w:val="19"/>
              </w:rPr>
              <w:t>ClinicalNote</w:t>
            </w:r>
          </w:p>
        </w:tc>
        <w:tc>
          <w:tcPr>
            <w:tcW w:type="dxa" w:w="3312"/>
            <w:vAlign w:val="center"/>
          </w:tcPr>
          <w:p>
            <w:r/>
            <w:r>
              <w:rPr>
                <w:rFonts w:ascii="Aptos" w:hAnsi="Aptos"/>
                <w:b w:val="0"/>
                <w:sz w:val="19"/>
              </w:rPr>
              <w:t>Assessment, treatment, recommendation and follow-up notes</w:t>
            </w:r>
          </w:p>
        </w:tc>
        <w:tc>
          <w:tcPr>
            <w:tcW w:type="dxa" w:w="3312"/>
            <w:vAlign w:val="center"/>
          </w:tcPr>
          <w:p>
            <w:r/>
            <w:r>
              <w:rPr>
                <w:rFonts w:ascii="Aptos" w:hAnsi="Aptos"/>
                <w:b w:val="0"/>
                <w:sz w:val="19"/>
              </w:rPr>
              <w:t>Per consultation</w:t>
            </w:r>
          </w:p>
        </w:tc>
      </w:tr>
    </w:tbl>
    <w:p>
      <w:pPr>
        <w:pStyle w:val="Heading1"/>
      </w:pPr>
      <w:r>
        <w:t>7. Bariatric specialty requirements</w:t>
      </w:r>
    </w:p>
    <w:p>
      <w:r>
        <w:t>The existing bariatric form contains several classes of information. The application should preserve the business meaning while reorganizing the data into a longitudinal model.</w:t>
      </w:r>
    </w:p>
    <w:p>
      <w:pPr>
        <w:pStyle w:val="Heading2"/>
      </w:pPr>
      <w:r>
        <w:t>7.1 Patient-level information</w:t>
      </w:r>
    </w:p>
    <w:p>
      <w:pPr>
        <w:pStyle w:val="ListBullet"/>
      </w:pPr>
      <w:r>
        <w:t>Clinical record / expediente number</w:t>
      </w:r>
    </w:p>
    <w:p>
      <w:pPr>
        <w:pStyle w:val="ListBullet"/>
      </w:pPr>
      <w:r>
        <w:t>Name and basic demographics</w:t>
      </w:r>
    </w:p>
    <w:p>
      <w:pPr>
        <w:pStyle w:val="ListBullet"/>
      </w:pPr>
      <w:r>
        <w:t>Date of birth; derive age rather than storing a permanently aging number</w:t>
      </w:r>
    </w:p>
    <w:p>
      <w:pPr>
        <w:pStyle w:val="ListBullet"/>
      </w:pPr>
      <w:r>
        <w:t>Contact information</w:t>
      </w:r>
    </w:p>
    <w:p>
      <w:pPr>
        <w:pStyle w:val="ListBullet"/>
      </w:pPr>
      <w:r>
        <w:t>Occupation / education / marital information where clinically required</w:t>
      </w:r>
    </w:p>
    <w:p>
      <w:pPr>
        <w:pStyle w:val="ListBullet"/>
      </w:pPr>
      <w:r>
        <w:t>Medical conditions and prior diagnoses</w:t>
      </w:r>
    </w:p>
    <w:p>
      <w:pPr>
        <w:pStyle w:val="ListBullet"/>
      </w:pPr>
      <w:r>
        <w:t>Medication and supplement history</w:t>
      </w:r>
    </w:p>
    <w:p>
      <w:pPr>
        <w:pStyle w:val="ListBullet"/>
      </w:pPr>
      <w:r>
        <w:t>Surgery history</w:t>
      </w:r>
    </w:p>
    <w:p>
      <w:pPr>
        <w:pStyle w:val="ListBullet"/>
      </w:pPr>
      <w:r>
        <w:t>Family history</w:t>
      </w:r>
    </w:p>
    <w:p>
      <w:pPr>
        <w:pStyle w:val="ListBullet"/>
      </w:pPr>
      <w:r>
        <w:t>Allergies, intolerances, and food-related reactions</w:t>
      </w:r>
    </w:p>
    <w:p>
      <w:pPr>
        <w:pStyle w:val="ListBullet"/>
      </w:pPr>
      <w:r>
        <w:t>Relevant gynecological history when applicable</w:t>
      </w:r>
    </w:p>
    <w:p>
      <w:pPr>
        <w:pStyle w:val="ListBullet"/>
      </w:pPr>
      <w:r>
        <w:t>Previous diet and weight-loss treatment history</w:t>
      </w:r>
    </w:p>
    <w:p>
      <w:pPr>
        <w:pStyle w:val="Heading2"/>
      </w:pPr>
      <w:r>
        <w:t>7.2 Consultation-level information</w:t>
      </w:r>
    </w:p>
    <w:p>
      <w:pPr>
        <w:pStyle w:val="ListBullet"/>
      </w:pPr>
      <w:r>
        <w:t>Consultation date and type (initial or follow-up)</w:t>
      </w:r>
    </w:p>
    <w:p>
      <w:pPr>
        <w:pStyle w:val="ListBullet"/>
      </w:pPr>
      <w:r>
        <w:t>Reason for consultation</w:t>
      </w:r>
    </w:p>
    <w:p>
      <w:pPr>
        <w:pStyle w:val="ListBullet"/>
      </w:pPr>
      <w:r>
        <w:t>Current symptoms and clinical observations</w:t>
      </w:r>
    </w:p>
    <w:p>
      <w:pPr>
        <w:pStyle w:val="ListBullet"/>
      </w:pPr>
      <w:r>
        <w:t>Blood pressure and other encounter-specific values</w:t>
      </w:r>
    </w:p>
    <w:p>
      <w:pPr>
        <w:pStyle w:val="ListBullet"/>
      </w:pPr>
      <w:r>
        <w:t>Anthropometric measurements</w:t>
      </w:r>
    </w:p>
    <w:p>
      <w:pPr>
        <w:pStyle w:val="ListBullet"/>
      </w:pPr>
      <w:r>
        <w:t>Dietary assessment</w:t>
      </w:r>
    </w:p>
    <w:p>
      <w:pPr>
        <w:pStyle w:val="ListBullet"/>
      </w:pPr>
      <w:r>
        <w:t>Lifestyle / exercise assessment</w:t>
      </w:r>
    </w:p>
    <w:p>
      <w:pPr>
        <w:pStyle w:val="ListBullet"/>
      </w:pPr>
      <w:r>
        <w:t>Biochemical / laboratory results relevant to the encounter</w:t>
      </w:r>
    </w:p>
    <w:p>
      <w:pPr>
        <w:pStyle w:val="ListBullet"/>
      </w:pPr>
      <w:r>
        <w:t>Nutritional evaluation</w:t>
      </w:r>
    </w:p>
    <w:p>
      <w:pPr>
        <w:pStyle w:val="ListBullet"/>
      </w:pPr>
      <w:r>
        <w:t>Energy and macronutrient targets</w:t>
      </w:r>
    </w:p>
    <w:p>
      <w:pPr>
        <w:pStyle w:val="ListBullet"/>
      </w:pPr>
      <w:r>
        <w:t>Clinical notes, recommendations and treatment plan</w:t>
      </w:r>
    </w:p>
    <w:p>
      <w:pPr>
        <w:pStyle w:val="Heading2"/>
      </w:pPr>
      <w:r>
        <w:t>7.3 Longitudinal progress</w:t>
      </w:r>
    </w:p>
    <w:p>
      <w:pPr>
        <w:pStyle w:val="ListBullet"/>
      </w:pPr>
      <w:r>
        <w:t>Weight over time</w:t>
      </w:r>
    </w:p>
    <w:p>
      <w:pPr>
        <w:pStyle w:val="ListBullet"/>
      </w:pPr>
      <w:r>
        <w:t>BMI over time</w:t>
      </w:r>
    </w:p>
    <w:p>
      <w:pPr>
        <w:pStyle w:val="ListBullet"/>
      </w:pPr>
      <w:r>
        <w:t>Waist circumference over time</w:t>
      </w:r>
    </w:p>
    <w:p>
      <w:pPr>
        <w:pStyle w:val="ListBullet"/>
      </w:pPr>
      <w:r>
        <w:t>Other measurements where useful</w:t>
      </w:r>
    </w:p>
    <w:p>
      <w:pPr>
        <w:pStyle w:val="ListBullet"/>
      </w:pPr>
      <w:r>
        <w:t>Consultation timeline</w:t>
      </w:r>
    </w:p>
    <w:p>
      <w:pPr>
        <w:pStyle w:val="ListBullet"/>
      </w:pPr>
      <w:r>
        <w:t>Medication/treatment changes over time</w:t>
      </w:r>
    </w:p>
    <w:p>
      <w:pPr>
        <w:pStyle w:val="Heading1"/>
      </w:pPr>
      <w:r>
        <w:t>8. MVP scope</w:t>
      </w:r>
    </w:p>
    <w:p>
      <w:r>
        <w:t>The first release must be useful to the bariatric practice without recreating every detail of the Excel form. The MVP is deliberately narrower than the final domain.</w:t>
      </w:r>
    </w:p>
    <w:p>
      <w:pPr>
        <w:pStyle w:val="ListBullet"/>
      </w:pPr>
      <w:r>
        <w:t>Doctor authentication</w:t>
      </w:r>
    </w:p>
    <w:p>
      <w:pPr>
        <w:pStyle w:val="ListBullet"/>
      </w:pPr>
      <w:r>
        <w:t>Doctor specialization</w:t>
      </w:r>
    </w:p>
    <w:p>
      <w:pPr>
        <w:pStyle w:val="ListBullet"/>
      </w:pPr>
      <w:r>
        <w:t>Doctor-to-patient access isolation</w:t>
      </w:r>
    </w:p>
    <w:p>
      <w:pPr>
        <w:pStyle w:val="ListBullet"/>
      </w:pPr>
      <w:r>
        <w:t>Patient creation, editing, search, view and archive</w:t>
      </w:r>
    </w:p>
    <w:p>
      <w:pPr>
        <w:pStyle w:val="ListBullet"/>
      </w:pPr>
      <w:r>
        <w:t>Initial consultation and follow-up consultation</w:t>
      </w:r>
    </w:p>
    <w:p>
      <w:pPr>
        <w:pStyle w:val="ListBullet"/>
      </w:pPr>
      <w:r>
        <w:t>Core anthropometric measurements</w:t>
      </w:r>
    </w:p>
    <w:p>
      <w:pPr>
        <w:pStyle w:val="ListBullet"/>
      </w:pPr>
      <w:r>
        <w:t>Basic clinical notes and treatment plan</w:t>
      </w:r>
    </w:p>
    <w:p>
      <w:pPr>
        <w:pStyle w:val="ListBullet"/>
      </w:pPr>
      <w:r>
        <w:t>Patient consultation history</w:t>
      </w:r>
    </w:p>
    <w:p>
      <w:pPr>
        <w:pStyle w:val="ListBullet"/>
      </w:pPr>
      <w:r>
        <w:t>Progress charts for weight, BMI and waist circumference</w:t>
      </w:r>
    </w:p>
    <w:p>
      <w:pPr>
        <w:pStyle w:val="ListBullet"/>
      </w:pPr>
      <w:r>
        <w:t>Basic medical conditions and medications</w:t>
      </w:r>
    </w:p>
    <w:p>
      <w:pPr>
        <w:pStyle w:val="ListBullet"/>
      </w:pPr>
      <w:r>
        <w:t>Bariatric-specific patient/consultation form routing</w:t>
      </w:r>
    </w:p>
    <w:p>
      <w:pPr>
        <w:pStyle w:val="Heading1"/>
      </w:pPr>
      <w:r>
        <w:t>9. Explicitly out of MVP</w:t>
      </w:r>
    </w:p>
    <w:p>
      <w:pPr>
        <w:pStyle w:val="ListBullet"/>
      </w:pPr>
      <w:r>
        <w:t>Microservices</w:t>
      </w:r>
    </w:p>
    <w:p>
      <w:pPr>
        <w:pStyle w:val="ListBullet"/>
      </w:pPr>
      <w:r>
        <w:t>Dynamic metadata-based form builder</w:t>
      </w:r>
    </w:p>
    <w:p>
      <w:pPr>
        <w:pStyle w:val="ListBullet"/>
      </w:pPr>
      <w:r>
        <w:t>Patient portal</w:t>
      </w:r>
    </w:p>
    <w:p>
      <w:pPr>
        <w:pStyle w:val="ListBullet"/>
      </w:pPr>
      <w:r>
        <w:t>Messaging / WhatsApp integration</w:t>
      </w:r>
    </w:p>
    <w:p>
      <w:pPr>
        <w:pStyle w:val="ListBullet"/>
      </w:pPr>
      <w:r>
        <w:t>Billing</w:t>
      </w:r>
    </w:p>
    <w:p>
      <w:pPr>
        <w:pStyle w:val="ListBullet"/>
      </w:pPr>
      <w:r>
        <w:t>Electronic prescriptions</w:t>
      </w:r>
    </w:p>
    <w:p>
      <w:pPr>
        <w:pStyle w:val="ListBullet"/>
      </w:pPr>
      <w:r>
        <w:t>AI-generated clinical summaries</w:t>
      </w:r>
    </w:p>
    <w:p>
      <w:pPr>
        <w:pStyle w:val="ListBullet"/>
      </w:pPr>
      <w:r>
        <w:t>Complex appointment scheduling</w:t>
      </w:r>
    </w:p>
    <w:p>
      <w:pPr>
        <w:pStyle w:val="ListBullet"/>
      </w:pPr>
      <w:r>
        <w:t>Cross-doctor record sharing</w:t>
      </w:r>
    </w:p>
    <w:p>
      <w:pPr>
        <w:pStyle w:val="ListBullet"/>
      </w:pPr>
      <w:r>
        <w:t>Multi-clinic organizational hierarchy</w:t>
      </w:r>
    </w:p>
    <w:p>
      <w:pPr>
        <w:pStyle w:val="ListBullet"/>
      </w:pPr>
      <w:r>
        <w:t>Full migration of every legacy Excel record</w:t>
      </w:r>
    </w:p>
    <w:p>
      <w:pPr>
        <w:pStyle w:val="ListBullet"/>
      </w:pPr>
      <w:r>
        <w:t>Support for additional specialties beyond the architectural seams</w:t>
      </w:r>
    </w:p>
    <w:p>
      <w:pPr>
        <w:pStyle w:val="Heading1"/>
      </w:pPr>
      <w:r>
        <w:t>10. Technology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2F0D9"/>
          </w:tcPr>
          <w:p>
            <w:r/>
            <w:r>
              <w:rPr>
                <w:rFonts w:ascii="Aptos" w:hAnsi="Aptos"/>
                <w:b/>
                <w:sz w:val="19"/>
              </w:rPr>
              <w:t>Area</w:t>
            </w:r>
          </w:p>
        </w:tc>
        <w:tc>
          <w:tcPr>
            <w:tcW w:type="dxa" w:w="3312"/>
            <w:vAlign w:val="center"/>
            <w:shd w:fill="E2F0D9"/>
          </w:tcPr>
          <w:p>
            <w:r/>
            <w:r>
              <w:rPr>
                <w:rFonts w:ascii="Aptos" w:hAnsi="Aptos"/>
                <w:b/>
                <w:sz w:val="19"/>
              </w:rPr>
              <w:t>Decision</w:t>
            </w:r>
          </w:p>
        </w:tc>
        <w:tc>
          <w:tcPr>
            <w:tcW w:type="dxa" w:w="3312"/>
            <w:vAlign w:val="center"/>
            <w:shd w:fill="E2F0D9"/>
          </w:tcPr>
          <w:p>
            <w:r/>
            <w:r>
              <w:rPr>
                <w:rFonts w:ascii="Aptos" w:hAnsi="Aptos"/>
                <w:b/>
                <w:sz w:val="19"/>
              </w:rPr>
              <w:t>Reason</w:t>
            </w:r>
          </w:p>
        </w:tc>
      </w:tr>
      <w:tr>
        <w:tc>
          <w:tcPr>
            <w:tcW w:type="dxa" w:w="3312"/>
            <w:vAlign w:val="center"/>
          </w:tcPr>
          <w:p>
            <w:r/>
            <w:r>
              <w:rPr>
                <w:rFonts w:ascii="Aptos" w:hAnsi="Aptos"/>
                <w:b w:val="0"/>
                <w:sz w:val="19"/>
              </w:rPr>
              <w:t>Backend</w:t>
            </w:r>
          </w:p>
        </w:tc>
        <w:tc>
          <w:tcPr>
            <w:tcW w:type="dxa" w:w="3312"/>
            <w:vAlign w:val="center"/>
          </w:tcPr>
          <w:p>
            <w:r/>
            <w:r>
              <w:rPr>
                <w:rFonts w:ascii="Aptos" w:hAnsi="Aptos"/>
                <w:b w:val="0"/>
                <w:sz w:val="19"/>
              </w:rPr>
              <w:t>Spring Boot, Java 21, Maven</w:t>
            </w:r>
          </w:p>
        </w:tc>
        <w:tc>
          <w:tcPr>
            <w:tcW w:type="dxa" w:w="3312"/>
            <w:vAlign w:val="center"/>
          </w:tcPr>
          <w:p>
            <w:r/>
            <w:r>
              <w:rPr>
                <w:rFonts w:ascii="Aptos" w:hAnsi="Aptos"/>
                <w:b w:val="0"/>
                <w:sz w:val="19"/>
              </w:rPr>
              <w:t>Strong fit for the learning goal and domain</w:t>
            </w:r>
          </w:p>
        </w:tc>
      </w:tr>
      <w:tr>
        <w:tc>
          <w:tcPr>
            <w:tcW w:type="dxa" w:w="3312"/>
            <w:vAlign w:val="center"/>
          </w:tcPr>
          <w:p>
            <w:r/>
            <w:r>
              <w:rPr>
                <w:rFonts w:ascii="Aptos" w:hAnsi="Aptos"/>
                <w:b w:val="0"/>
                <w:sz w:val="19"/>
              </w:rPr>
              <w:t>Architecture</w:t>
            </w:r>
          </w:p>
        </w:tc>
        <w:tc>
          <w:tcPr>
            <w:tcW w:type="dxa" w:w="3312"/>
            <w:vAlign w:val="center"/>
          </w:tcPr>
          <w:p>
            <w:r/>
            <w:r>
              <w:rPr>
                <w:rFonts w:ascii="Aptos" w:hAnsi="Aptos"/>
                <w:b w:val="0"/>
                <w:sz w:val="19"/>
              </w:rPr>
              <w:t>Modular monolith</w:t>
            </w:r>
          </w:p>
        </w:tc>
        <w:tc>
          <w:tcPr>
            <w:tcW w:type="dxa" w:w="3312"/>
            <w:vAlign w:val="center"/>
          </w:tcPr>
          <w:p>
            <w:r/>
            <w:r>
              <w:rPr>
                <w:rFonts w:ascii="Aptos" w:hAnsi="Aptos"/>
                <w:b w:val="0"/>
                <w:sz w:val="19"/>
              </w:rPr>
              <w:t>Keeps deployment simple while preserving domain boundaries</w:t>
            </w:r>
          </w:p>
        </w:tc>
      </w:tr>
      <w:tr>
        <w:tc>
          <w:tcPr>
            <w:tcW w:type="dxa" w:w="3312"/>
            <w:vAlign w:val="center"/>
          </w:tcPr>
          <w:p>
            <w:r/>
            <w:r>
              <w:rPr>
                <w:rFonts w:ascii="Aptos" w:hAnsi="Aptos"/>
                <w:b w:val="0"/>
                <w:sz w:val="19"/>
              </w:rPr>
              <w:t>Persistence</w:t>
            </w:r>
          </w:p>
        </w:tc>
        <w:tc>
          <w:tcPr>
            <w:tcW w:type="dxa" w:w="3312"/>
            <w:vAlign w:val="center"/>
          </w:tcPr>
          <w:p>
            <w:r/>
            <w:r>
              <w:rPr>
                <w:rFonts w:ascii="Aptos" w:hAnsi="Aptos"/>
                <w:b w:val="0"/>
                <w:sz w:val="19"/>
              </w:rPr>
              <w:t>PostgreSQL</w:t>
            </w:r>
          </w:p>
        </w:tc>
        <w:tc>
          <w:tcPr>
            <w:tcW w:type="dxa" w:w="3312"/>
            <w:vAlign w:val="center"/>
          </w:tcPr>
          <w:p>
            <w:r/>
            <w:r>
              <w:rPr>
                <w:rFonts w:ascii="Aptos" w:hAnsi="Aptos"/>
                <w:b w:val="0"/>
                <w:sz w:val="19"/>
              </w:rPr>
              <w:t>Reliable relational model for strongly related clinical data</w:t>
            </w:r>
          </w:p>
        </w:tc>
      </w:tr>
      <w:tr>
        <w:tc>
          <w:tcPr>
            <w:tcW w:type="dxa" w:w="3312"/>
            <w:vAlign w:val="center"/>
          </w:tcPr>
          <w:p>
            <w:r/>
            <w:r>
              <w:rPr>
                <w:rFonts w:ascii="Aptos" w:hAnsi="Aptos"/>
                <w:b w:val="0"/>
                <w:sz w:val="19"/>
              </w:rPr>
              <w:t>ORM</w:t>
            </w:r>
          </w:p>
        </w:tc>
        <w:tc>
          <w:tcPr>
            <w:tcW w:type="dxa" w:w="3312"/>
            <w:vAlign w:val="center"/>
          </w:tcPr>
          <w:p>
            <w:r/>
            <w:r>
              <w:rPr>
                <w:rFonts w:ascii="Aptos" w:hAnsi="Aptos"/>
                <w:b w:val="0"/>
                <w:sz w:val="19"/>
              </w:rPr>
              <w:t>Spring Data JPA / Hibernate</w:t>
            </w:r>
          </w:p>
        </w:tc>
        <w:tc>
          <w:tcPr>
            <w:tcW w:type="dxa" w:w="3312"/>
            <w:vAlign w:val="center"/>
          </w:tcPr>
          <w:p>
            <w:r/>
            <w:r>
              <w:rPr>
                <w:rFonts w:ascii="Aptos" w:hAnsi="Aptos"/>
                <w:b w:val="0"/>
                <w:sz w:val="19"/>
              </w:rPr>
              <w:t>Productive mapping for the relational model</w:t>
            </w:r>
          </w:p>
        </w:tc>
      </w:tr>
      <w:tr>
        <w:tc>
          <w:tcPr>
            <w:tcW w:type="dxa" w:w="3312"/>
            <w:vAlign w:val="center"/>
          </w:tcPr>
          <w:p>
            <w:r/>
            <w:r>
              <w:rPr>
                <w:rFonts w:ascii="Aptos" w:hAnsi="Aptos"/>
                <w:b w:val="0"/>
                <w:sz w:val="19"/>
              </w:rPr>
              <w:t>Schema migrations</w:t>
            </w:r>
          </w:p>
        </w:tc>
        <w:tc>
          <w:tcPr>
            <w:tcW w:type="dxa" w:w="3312"/>
            <w:vAlign w:val="center"/>
          </w:tcPr>
          <w:p>
            <w:r/>
            <w:r>
              <w:rPr>
                <w:rFonts w:ascii="Aptos" w:hAnsi="Aptos"/>
                <w:b w:val="0"/>
                <w:sz w:val="19"/>
              </w:rPr>
              <w:t>Flyway</w:t>
            </w:r>
          </w:p>
        </w:tc>
        <w:tc>
          <w:tcPr>
            <w:tcW w:type="dxa" w:w="3312"/>
            <w:vAlign w:val="center"/>
          </w:tcPr>
          <w:p>
            <w:r/>
            <w:r>
              <w:rPr>
                <w:rFonts w:ascii="Aptos" w:hAnsi="Aptos"/>
                <w:b w:val="0"/>
                <w:sz w:val="19"/>
              </w:rPr>
              <w:t>Explicit, reproducible database evolution</w:t>
            </w:r>
          </w:p>
        </w:tc>
      </w:tr>
      <w:tr>
        <w:tc>
          <w:tcPr>
            <w:tcW w:type="dxa" w:w="3312"/>
            <w:vAlign w:val="center"/>
          </w:tcPr>
          <w:p>
            <w:r/>
            <w:r>
              <w:rPr>
                <w:rFonts w:ascii="Aptos" w:hAnsi="Aptos"/>
                <w:b w:val="0"/>
                <w:sz w:val="19"/>
              </w:rPr>
              <w:t>Schema mode</w:t>
            </w:r>
          </w:p>
        </w:tc>
        <w:tc>
          <w:tcPr>
            <w:tcW w:type="dxa" w:w="3312"/>
            <w:vAlign w:val="center"/>
          </w:tcPr>
          <w:p>
            <w:r/>
            <w:r>
              <w:rPr>
                <w:rFonts w:ascii="Aptos" w:hAnsi="Aptos"/>
                <w:b w:val="0"/>
                <w:sz w:val="19"/>
              </w:rPr>
              <w:t>Hibernate ddl-auto=validate</w:t>
            </w:r>
          </w:p>
        </w:tc>
        <w:tc>
          <w:tcPr>
            <w:tcW w:type="dxa" w:w="3312"/>
            <w:vAlign w:val="center"/>
          </w:tcPr>
          <w:p>
            <w:r/>
            <w:r>
              <w:rPr>
                <w:rFonts w:ascii="Aptos" w:hAnsi="Aptos"/>
                <w:b w:val="0"/>
                <w:sz w:val="19"/>
              </w:rPr>
              <w:t>Prevents Hibernate from silently owning schema changes</w:t>
            </w:r>
          </w:p>
        </w:tc>
      </w:tr>
      <w:tr>
        <w:tc>
          <w:tcPr>
            <w:tcW w:type="dxa" w:w="3312"/>
            <w:vAlign w:val="center"/>
          </w:tcPr>
          <w:p>
            <w:r/>
            <w:r>
              <w:rPr>
                <w:rFonts w:ascii="Aptos" w:hAnsi="Aptos"/>
                <w:b w:val="0"/>
                <w:sz w:val="19"/>
              </w:rPr>
              <w:t>Validation</w:t>
            </w:r>
          </w:p>
        </w:tc>
        <w:tc>
          <w:tcPr>
            <w:tcW w:type="dxa" w:w="3312"/>
            <w:vAlign w:val="center"/>
          </w:tcPr>
          <w:p>
            <w:r/>
            <w:r>
              <w:rPr>
                <w:rFonts w:ascii="Aptos" w:hAnsi="Aptos"/>
                <w:b w:val="0"/>
                <w:sz w:val="19"/>
              </w:rPr>
              <w:t>Jakarta Bean Validation + domain/service rules</w:t>
            </w:r>
          </w:p>
        </w:tc>
        <w:tc>
          <w:tcPr>
            <w:tcW w:type="dxa" w:w="3312"/>
            <w:vAlign w:val="center"/>
          </w:tcPr>
          <w:p>
            <w:r/>
            <w:r>
              <w:rPr>
                <w:rFonts w:ascii="Aptos" w:hAnsi="Aptos"/>
                <w:b w:val="0"/>
                <w:sz w:val="19"/>
              </w:rPr>
              <w:t>Separates simple input validation from business invariants</w:t>
            </w:r>
          </w:p>
        </w:tc>
      </w:tr>
      <w:tr>
        <w:tc>
          <w:tcPr>
            <w:tcW w:type="dxa" w:w="3312"/>
            <w:vAlign w:val="center"/>
          </w:tcPr>
          <w:p>
            <w:r/>
            <w:r>
              <w:rPr>
                <w:rFonts w:ascii="Aptos" w:hAnsi="Aptos"/>
                <w:b w:val="0"/>
                <w:sz w:val="19"/>
              </w:rPr>
              <w:t>Security</w:t>
            </w:r>
          </w:p>
        </w:tc>
        <w:tc>
          <w:tcPr>
            <w:tcW w:type="dxa" w:w="3312"/>
            <w:vAlign w:val="center"/>
          </w:tcPr>
          <w:p>
            <w:r/>
            <w:r>
              <w:rPr>
                <w:rFonts w:ascii="Aptos" w:hAnsi="Aptos"/>
                <w:b w:val="0"/>
                <w:sz w:val="19"/>
              </w:rPr>
              <w:t>Spring Security</w:t>
            </w:r>
          </w:p>
        </w:tc>
        <w:tc>
          <w:tcPr>
            <w:tcW w:type="dxa" w:w="3312"/>
            <w:vAlign w:val="center"/>
          </w:tcPr>
          <w:p>
            <w:r/>
            <w:r>
              <w:rPr>
                <w:rFonts w:ascii="Aptos" w:hAnsi="Aptos"/>
                <w:b w:val="0"/>
                <w:sz w:val="19"/>
              </w:rPr>
              <w:t>Authentication and resource authorization</w:t>
            </w:r>
          </w:p>
        </w:tc>
      </w:tr>
      <w:tr>
        <w:tc>
          <w:tcPr>
            <w:tcW w:type="dxa" w:w="3312"/>
            <w:vAlign w:val="center"/>
          </w:tcPr>
          <w:p>
            <w:r/>
            <w:r>
              <w:rPr>
                <w:rFonts w:ascii="Aptos" w:hAnsi="Aptos"/>
                <w:b w:val="0"/>
                <w:sz w:val="19"/>
              </w:rPr>
              <w:t>Frontend</w:t>
            </w:r>
          </w:p>
        </w:tc>
        <w:tc>
          <w:tcPr>
            <w:tcW w:type="dxa" w:w="3312"/>
            <w:vAlign w:val="center"/>
          </w:tcPr>
          <w:p>
            <w:r/>
            <w:r>
              <w:rPr>
                <w:rFonts w:ascii="Aptos" w:hAnsi="Aptos"/>
                <w:b w:val="0"/>
                <w:sz w:val="19"/>
              </w:rPr>
              <w:t>Separate SPA</w:t>
            </w:r>
          </w:p>
        </w:tc>
        <w:tc>
          <w:tcPr>
            <w:tcW w:type="dxa" w:w="3312"/>
            <w:vAlign w:val="center"/>
          </w:tcPr>
          <w:p>
            <w:r/>
            <w:r>
              <w:rPr>
                <w:rFonts w:ascii="Aptos" w:hAnsi="Aptos"/>
                <w:b w:val="0"/>
                <w:sz w:val="19"/>
              </w:rPr>
              <w:t>Independent UI evolution and specialty-specific flows</w:t>
            </w:r>
          </w:p>
        </w:tc>
      </w:tr>
      <w:tr>
        <w:tc>
          <w:tcPr>
            <w:tcW w:type="dxa" w:w="3312"/>
            <w:vAlign w:val="center"/>
          </w:tcPr>
          <w:p>
            <w:r/>
            <w:r>
              <w:rPr>
                <w:rFonts w:ascii="Aptos" w:hAnsi="Aptos"/>
                <w:b w:val="0"/>
                <w:sz w:val="19"/>
              </w:rPr>
              <w:t>Local DB</w:t>
            </w:r>
          </w:p>
        </w:tc>
        <w:tc>
          <w:tcPr>
            <w:tcW w:type="dxa" w:w="3312"/>
            <w:vAlign w:val="center"/>
          </w:tcPr>
          <w:p>
            <w:r/>
            <w:r>
              <w:rPr>
                <w:rFonts w:ascii="Aptos" w:hAnsi="Aptos"/>
                <w:b w:val="0"/>
                <w:sz w:val="19"/>
              </w:rPr>
              <w:t>PostgreSQL in Docker</w:t>
            </w:r>
          </w:p>
        </w:tc>
        <w:tc>
          <w:tcPr>
            <w:tcW w:type="dxa" w:w="3312"/>
            <w:vAlign w:val="center"/>
          </w:tcPr>
          <w:p>
            <w:r/>
            <w:r>
              <w:rPr>
                <w:rFonts w:ascii="Aptos" w:hAnsi="Aptos"/>
                <w:b w:val="0"/>
                <w:sz w:val="19"/>
              </w:rPr>
              <w:t>Consistent local environment</w:t>
            </w:r>
          </w:p>
        </w:tc>
      </w:tr>
    </w:tbl>
    <w:p>
      <w:pPr>
        <w:pStyle w:val="Heading1"/>
      </w:pPr>
      <w:r>
        <w:t>11. Backend package strategy</w:t>
      </w:r>
    </w:p>
    <w:p>
      <w:r>
        <w:t>Use feature-oriented packaging rather than one global controller/service/repository/entity folder.</w:t>
      </w:r>
    </w:p>
    <w:p>
      <w:pPr>
        <w:ind w:left="360"/>
      </w:pPr>
      <w:r>
        <w:rPr>
          <w:rFonts w:ascii="Courier New" w:hAnsi="Courier New"/>
          <w:sz w:val="18"/>
        </w:rPr>
        <w:t>com.jaime.medical</w:t>
        <w:br/>
        <w:t>├── doctor</w:t>
        <w:br/>
        <w:t>├── patient</w:t>
        <w:br/>
        <w:t>├── consultation</w:t>
        <w:br/>
        <w:t>├── measurement</w:t>
        <w:br/>
        <w:t>├── clinical</w:t>
        <w:br/>
        <w:t>├── nutrition</w:t>
        <w:br/>
        <w:t>├── laboratory</w:t>
        <w:br/>
        <w:t>├── security</w:t>
        <w:br/>
        <w:t>└── shared</w:t>
      </w:r>
    </w:p>
    <w:p>
      <w:r>
        <w:t>Within a feature, keep API, application/domain logic, and persistence concerns cohesive. Avoid premature abstraction.</w:t>
      </w:r>
    </w:p>
    <w:p>
      <w:pPr>
        <w:pStyle w:val="Heading1"/>
      </w:pPr>
      <w:r>
        <w:t>12. API design principles</w:t>
      </w:r>
    </w:p>
    <w:p>
      <w:pPr>
        <w:pStyle w:val="ListBullet"/>
      </w:pPr>
      <w:r>
        <w:t>REST endpoints are scoped around application resources, not database tables.</w:t>
      </w:r>
    </w:p>
    <w:p>
      <w:pPr>
        <w:pStyle w:val="ListBullet"/>
      </w:pPr>
      <w:r>
        <w:t>Never expose JPA entities directly as API responses.</w:t>
      </w:r>
    </w:p>
    <w:p>
      <w:pPr>
        <w:pStyle w:val="ListBullet"/>
      </w:pPr>
      <w:r>
        <w:t>Use request/response DTOs.</w:t>
      </w:r>
    </w:p>
    <w:p>
      <w:pPr>
        <w:pStyle w:val="ListBullet"/>
      </w:pPr>
      <w:r>
        <w:t>Use pagination for patient search/list endpoints.</w:t>
      </w:r>
    </w:p>
    <w:p>
      <w:pPr>
        <w:pStyle w:val="ListBullet"/>
      </w:pPr>
      <w:r>
        <w:t>Prefer PATCH for partial edits where appropriate.</w:t>
      </w:r>
    </w:p>
    <w:p>
      <w:pPr>
        <w:pStyle w:val="ListBullet"/>
      </w:pPr>
      <w:r>
        <w:t>Every patient-scoped endpoint must enforce authenticated-doctor access.</w:t>
      </w:r>
    </w:p>
    <w:p>
      <w:pPr>
        <w:pStyle w:val="ListBullet"/>
      </w:pPr>
      <w:r>
        <w:t>Return stable error responses for validation, not found, conflict and authorization failures.</w:t>
      </w:r>
    </w:p>
    <w:p>
      <w:pPr>
        <w:pStyle w:val="ListBullet"/>
      </w:pPr>
      <w:r>
        <w:t>Calculated progress data may have dedicated read endpoints optimized for charts.</w:t>
      </w:r>
    </w:p>
    <w:p>
      <w:pPr>
        <w:ind w:left="360"/>
      </w:pPr>
      <w:r>
        <w:rPr>
          <w:rFonts w:ascii="Courier New" w:hAnsi="Courier New"/>
          <w:sz w:val="18"/>
        </w:rPr>
        <w:t>Example direction</w:t>
        <w:br/>
        <w:br/>
        <w:t>POST   /api/patients</w:t>
        <w:br/>
        <w:t>GET    /api/patients</w:t>
        <w:br/>
        <w:t>GET    /api/patients/{patientId}</w:t>
        <w:br/>
        <w:t>PATCH  /api/patients/{patientId}</w:t>
        <w:br/>
        <w:br/>
        <w:t>POST   /api/patients/{patientId}/consultations</w:t>
        <w:br/>
        <w:t>GET    /api/patients/{patientId}/consultations</w:t>
        <w:br/>
        <w:t>GET    /api/consultations/{consultationId}</w:t>
        <w:br/>
        <w:br/>
        <w:t>GET    /api/patients/{patientId}/progress</w:t>
        <w:br/>
        <w:t>GET    /api/me</w:t>
      </w:r>
    </w:p>
    <w:p>
      <w:pPr>
        <w:pStyle w:val="Heading1"/>
      </w:pPr>
      <w:r>
        <w:t>13. Data modeling rules</w:t>
      </w:r>
    </w:p>
    <w:p>
      <w:pPr>
        <w:pStyle w:val="ListBullet"/>
      </w:pPr>
      <w:r>
        <w:t>Do not create one giant Patient entity containing the Excel form.</w:t>
      </w:r>
    </w:p>
    <w:p>
      <w:pPr>
        <w:pStyle w:val="ListBullet"/>
      </w:pPr>
      <w:r>
        <w:t>Stable patient information belongs on patient-level structures.</w:t>
      </w:r>
    </w:p>
    <w:p>
      <w:pPr>
        <w:pStyle w:val="ListBullet"/>
      </w:pPr>
      <w:r>
        <w:t>Anything that changes from visit to visit belongs under Consultation or a consultation child.</w:t>
      </w:r>
    </w:p>
    <w:p>
      <w:pPr>
        <w:pStyle w:val="ListBullet"/>
      </w:pPr>
      <w:r>
        <w:t>Repeatable concepts such as medications, surgeries, conditions and labs are modeled as rows, not numbered columns.</w:t>
      </w:r>
    </w:p>
    <w:p>
      <w:pPr>
        <w:pStyle w:val="ListBullet"/>
      </w:pPr>
      <w:r>
        <w:t>Avoid storing values that can become stale when they can be derived safely (for example, age from date of birth).</w:t>
      </w:r>
    </w:p>
    <w:p>
      <w:pPr>
        <w:pStyle w:val="ListBullet"/>
      </w:pPr>
      <w:r>
        <w:t>Calculated clinical values may be persisted when historical reproducibility matters; if so, record enough context/versioning to explain the calculation.</w:t>
      </w:r>
    </w:p>
    <w:p>
      <w:pPr>
        <w:pStyle w:val="ListBullet"/>
      </w:pPr>
      <w:r>
        <w:t>Archive rather than hard-delete patient records in normal application flows.</w:t>
      </w:r>
    </w:p>
    <w:p>
      <w:pPr>
        <w:pStyle w:val="ListBullet"/>
      </w:pPr>
      <w:r>
        <w:t>Use database constraints for invariants that the database can enforce reliably.</w:t>
      </w:r>
    </w:p>
    <w:p>
      <w:pPr>
        <w:pStyle w:val="Heading1"/>
      </w:pPr>
      <w:r>
        <w:t>14. Security requirements</w:t>
      </w:r>
    </w:p>
    <w:p>
      <w:r>
        <w:t>Security is not an optional polish phase because the system is intended to handle sensitive medical information. However, implementation is sequenced so the base application can be established before security complexity is introduced.</w:t>
      </w:r>
    </w:p>
    <w:p>
      <w:pPr>
        <w:pStyle w:val="ListBullet"/>
      </w:pPr>
      <w:r>
        <w:t>Authenticated access only</w:t>
      </w:r>
    </w:p>
    <w:p>
      <w:pPr>
        <w:pStyle w:val="ListBullet"/>
      </w:pPr>
      <w:r>
        <w:t>Strong password storage using Spring Security-approved password hashing</w:t>
      </w:r>
    </w:p>
    <w:p>
      <w:pPr>
        <w:pStyle w:val="ListBullet"/>
      </w:pPr>
      <w:r>
        <w:t>Backend-enforced doctor-to-patient authorization</w:t>
      </w:r>
    </w:p>
    <w:p>
      <w:pPr>
        <w:pStyle w:val="ListBullet"/>
      </w:pPr>
      <w:r>
        <w:t>No predictable-ID access bypass</w:t>
      </w:r>
    </w:p>
    <w:p>
      <w:pPr>
        <w:pStyle w:val="ListBullet"/>
      </w:pPr>
      <w:r>
        <w:t>Secure transport in production (HTTPS)</w:t>
      </w:r>
    </w:p>
    <w:p>
      <w:pPr>
        <w:pStyle w:val="ListBullet"/>
      </w:pPr>
      <w:r>
        <w:t>Secrets are never committed to source control</w:t>
      </w:r>
    </w:p>
    <w:p>
      <w:pPr>
        <w:pStyle w:val="ListBullet"/>
      </w:pPr>
      <w:r>
        <w:t>Database backups and restore procedures before real clinical use</w:t>
      </w:r>
    </w:p>
    <w:p>
      <w:pPr>
        <w:pStyle w:val="ListBullet"/>
      </w:pPr>
      <w:r>
        <w:t>Auditability for clinically meaningful changes should be added before mature production use</w:t>
      </w:r>
    </w:p>
    <w:p>
      <w:pPr>
        <w:pStyle w:val="ListBullet"/>
      </w:pPr>
      <w:r>
        <w:t>Real clinical data must never appear in portfolio screenshots, test fixtures or public repositories</w:t>
      </w:r>
    </w:p>
    <w:p>
      <w:r>
        <w:t>Before real-world clinical deployment, applicable Mexican legal, privacy and medical-record requirements must be verified with appropriate professional guidance. Technical implementation alone should not be treated as compliance certification.</w:t>
      </w:r>
    </w:p>
    <w:p>
      <w:pPr>
        <w:pStyle w:val="Heading1"/>
      </w:pPr>
      <w:r>
        <w:t>15. Portfolio / demo separation</w:t>
      </w:r>
    </w:p>
    <w:p>
      <w:pPr>
        <w:pStyle w:val="ListBullet"/>
      </w:pPr>
      <w:r>
        <w:t>Production environment contains real practice data.</w:t>
      </w:r>
    </w:p>
    <w:p>
      <w:pPr>
        <w:pStyle w:val="ListBullet"/>
      </w:pPr>
      <w:r>
        <w:t>Portfolio/demo environment contains synthetic patients only.</w:t>
      </w:r>
    </w:p>
    <w:p>
      <w:pPr>
        <w:pStyle w:val="ListBullet"/>
      </w:pPr>
      <w:r>
        <w:t>Screenshots and public demonstrations use synthetic data.</w:t>
      </w:r>
    </w:p>
    <w:p>
      <w:pPr>
        <w:pStyle w:val="ListBullet"/>
      </w:pPr>
      <w:r>
        <w:t>Do not clone or anonymize production data casually for demos.</w:t>
      </w:r>
    </w:p>
    <w:p>
      <w:pPr>
        <w:pStyle w:val="ListBullet"/>
      </w:pPr>
      <w:r>
        <w:t>The codebase may be shared where appropriate, but secrets and real data never are.</w:t>
      </w:r>
    </w:p>
    <w:p>
      <w:pPr>
        <w:pStyle w:val="Heading1"/>
      </w:pPr>
      <w:r>
        <w:t>16. Delivery plan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FCE4D6"/>
          </w:tcPr>
          <w:p>
            <w:r/>
            <w:r>
              <w:rPr>
                <w:rFonts w:ascii="Aptos" w:hAnsi="Aptos"/>
                <w:b/>
                <w:sz w:val="19"/>
              </w:rPr>
              <w:t>Milestone</w:t>
            </w:r>
          </w:p>
        </w:tc>
        <w:tc>
          <w:tcPr>
            <w:tcW w:type="dxa" w:w="4968"/>
            <w:vAlign w:val="center"/>
            <w:shd w:fill="FCE4D6"/>
          </w:tcPr>
          <w:p>
            <w:r/>
            <w:r>
              <w:rPr>
                <w:rFonts w:ascii="Aptos" w:hAnsi="Aptos"/>
                <w:b/>
                <w:sz w:val="19"/>
              </w:rPr>
              <w:t>Done when</w:t>
            </w:r>
          </w:p>
        </w:tc>
      </w:tr>
      <w:tr>
        <w:tc>
          <w:tcPr>
            <w:tcW w:type="dxa" w:w="4968"/>
            <w:vAlign w:val="center"/>
          </w:tcPr>
          <w:p>
            <w:r/>
            <w:r>
              <w:rPr>
                <w:rFonts w:ascii="Aptos" w:hAnsi="Aptos"/>
                <w:b w:val="0"/>
                <w:sz w:val="19"/>
              </w:rPr>
              <w:t>Milestone 0 — Foundation</w:t>
            </w:r>
          </w:p>
        </w:tc>
        <w:tc>
          <w:tcPr>
            <w:tcW w:type="dxa" w:w="4968"/>
            <w:vAlign w:val="center"/>
          </w:tcPr>
          <w:p>
            <w:r/>
            <w:r>
              <w:rPr>
                <w:rFonts w:ascii="Aptos" w:hAnsi="Aptos"/>
                <w:b w:val="0"/>
                <w:sz w:val="19"/>
              </w:rPr>
              <w:t>Spring Boot app, Java 21, Maven, PostgreSQL in Docker, Flyway, Hibernate validate, first trivial migration.</w:t>
            </w:r>
          </w:p>
        </w:tc>
      </w:tr>
      <w:tr>
        <w:tc>
          <w:tcPr>
            <w:tcW w:type="dxa" w:w="4968"/>
            <w:vAlign w:val="center"/>
          </w:tcPr>
          <w:p>
            <w:r/>
            <w:r>
              <w:rPr>
                <w:rFonts w:ascii="Aptos" w:hAnsi="Aptos"/>
                <w:b w:val="0"/>
                <w:sz w:val="19"/>
              </w:rPr>
              <w:t>Milestone 1 — Identity model</w:t>
            </w:r>
          </w:p>
        </w:tc>
        <w:tc>
          <w:tcPr>
            <w:tcW w:type="dxa" w:w="4968"/>
            <w:vAlign w:val="center"/>
          </w:tcPr>
          <w:p>
            <w:r/>
            <w:r>
              <w:rPr>
                <w:rFonts w:ascii="Aptos" w:hAnsi="Aptos"/>
                <w:b w:val="0"/>
                <w:sz w:val="19"/>
              </w:rPr>
              <w:t>Doctor, Specialization, Patient and DoctorPatient schema + first real entities.</w:t>
            </w:r>
          </w:p>
        </w:tc>
      </w:tr>
      <w:tr>
        <w:tc>
          <w:tcPr>
            <w:tcW w:type="dxa" w:w="4968"/>
            <w:vAlign w:val="center"/>
          </w:tcPr>
          <w:p>
            <w:r/>
            <w:r>
              <w:rPr>
                <w:rFonts w:ascii="Aptos" w:hAnsi="Aptos"/>
                <w:b w:val="0"/>
                <w:sz w:val="19"/>
              </w:rPr>
              <w:t>Milestone 2 — Patient management</w:t>
            </w:r>
          </w:p>
        </w:tc>
        <w:tc>
          <w:tcPr>
            <w:tcW w:type="dxa" w:w="4968"/>
            <w:vAlign w:val="center"/>
          </w:tcPr>
          <w:p>
            <w:r/>
            <w:r>
              <w:rPr>
                <w:rFonts w:ascii="Aptos" w:hAnsi="Aptos"/>
                <w:b w:val="0"/>
                <w:sz w:val="19"/>
              </w:rPr>
              <w:t>Create, edit, search, view and archive patients with doctor ownership enforced.</w:t>
            </w:r>
          </w:p>
        </w:tc>
      </w:tr>
      <w:tr>
        <w:tc>
          <w:tcPr>
            <w:tcW w:type="dxa" w:w="4968"/>
            <w:vAlign w:val="center"/>
          </w:tcPr>
          <w:p>
            <w:r/>
            <w:r>
              <w:rPr>
                <w:rFonts w:ascii="Aptos" w:hAnsi="Aptos"/>
                <w:b w:val="0"/>
                <w:sz w:val="19"/>
              </w:rPr>
              <w:t>Milestone 3 — Consultations</w:t>
            </w:r>
          </w:p>
        </w:tc>
        <w:tc>
          <w:tcPr>
            <w:tcW w:type="dxa" w:w="4968"/>
            <w:vAlign w:val="center"/>
          </w:tcPr>
          <w:p>
            <w:r/>
            <w:r>
              <w:rPr>
                <w:rFonts w:ascii="Aptos" w:hAnsi="Aptos"/>
                <w:b w:val="0"/>
                <w:sz w:val="19"/>
              </w:rPr>
              <w:t>Initial/follow-up consultations and consultation history.</w:t>
            </w:r>
          </w:p>
        </w:tc>
      </w:tr>
      <w:tr>
        <w:tc>
          <w:tcPr>
            <w:tcW w:type="dxa" w:w="4968"/>
            <w:vAlign w:val="center"/>
          </w:tcPr>
          <w:p>
            <w:r/>
            <w:r>
              <w:rPr>
                <w:rFonts w:ascii="Aptos" w:hAnsi="Aptos"/>
                <w:b w:val="0"/>
                <w:sz w:val="19"/>
              </w:rPr>
              <w:t>Milestone 4 — Bariatric measurements</w:t>
            </w:r>
          </w:p>
        </w:tc>
        <w:tc>
          <w:tcPr>
            <w:tcW w:type="dxa" w:w="4968"/>
            <w:vAlign w:val="center"/>
          </w:tcPr>
          <w:p>
            <w:r/>
            <w:r>
              <w:rPr>
                <w:rFonts w:ascii="Aptos" w:hAnsi="Aptos"/>
                <w:b w:val="0"/>
                <w:sz w:val="19"/>
              </w:rPr>
              <w:t>Anthropometric values and derived progress values.</w:t>
            </w:r>
          </w:p>
        </w:tc>
      </w:tr>
      <w:tr>
        <w:tc>
          <w:tcPr>
            <w:tcW w:type="dxa" w:w="4968"/>
            <w:vAlign w:val="center"/>
          </w:tcPr>
          <w:p>
            <w:r/>
            <w:r>
              <w:rPr>
                <w:rFonts w:ascii="Aptos" w:hAnsi="Aptos"/>
                <w:b w:val="0"/>
                <w:sz w:val="19"/>
              </w:rPr>
              <w:t>Milestone 5 — Progress experience</w:t>
            </w:r>
          </w:p>
        </w:tc>
        <w:tc>
          <w:tcPr>
            <w:tcW w:type="dxa" w:w="4968"/>
            <w:vAlign w:val="center"/>
          </w:tcPr>
          <w:p>
            <w:r/>
            <w:r>
              <w:rPr>
                <w:rFonts w:ascii="Aptos" w:hAnsi="Aptos"/>
                <w:b w:val="0"/>
                <w:sz w:val="19"/>
              </w:rPr>
              <w:t>Backend progress endpoint plus weight/BMI/waist visualizations.</w:t>
            </w:r>
          </w:p>
        </w:tc>
      </w:tr>
      <w:tr>
        <w:tc>
          <w:tcPr>
            <w:tcW w:type="dxa" w:w="4968"/>
            <w:vAlign w:val="center"/>
          </w:tcPr>
          <w:p>
            <w:r/>
            <w:r>
              <w:rPr>
                <w:rFonts w:ascii="Aptos" w:hAnsi="Aptos"/>
                <w:b w:val="0"/>
                <w:sz w:val="19"/>
              </w:rPr>
              <w:t>Milestone 6 — Core clinical history</w:t>
            </w:r>
          </w:p>
        </w:tc>
        <w:tc>
          <w:tcPr>
            <w:tcW w:type="dxa" w:w="4968"/>
            <w:vAlign w:val="center"/>
          </w:tcPr>
          <w:p>
            <w:r/>
            <w:r>
              <w:rPr>
                <w:rFonts w:ascii="Aptos" w:hAnsi="Aptos"/>
                <w:b w:val="0"/>
                <w:sz w:val="19"/>
              </w:rPr>
              <w:t>Conditions, medications, allergies/reactions and key notes.</w:t>
            </w:r>
          </w:p>
        </w:tc>
      </w:tr>
      <w:tr>
        <w:tc>
          <w:tcPr>
            <w:tcW w:type="dxa" w:w="4968"/>
            <w:vAlign w:val="center"/>
          </w:tcPr>
          <w:p>
            <w:r/>
            <w:r>
              <w:rPr>
                <w:rFonts w:ascii="Aptos" w:hAnsi="Aptos"/>
                <w:b w:val="0"/>
                <w:sz w:val="19"/>
              </w:rPr>
              <w:t>Milestone 7 — Security hardening</w:t>
            </w:r>
          </w:p>
        </w:tc>
        <w:tc>
          <w:tcPr>
            <w:tcW w:type="dxa" w:w="4968"/>
            <w:vAlign w:val="center"/>
          </w:tcPr>
          <w:p>
            <w:r/>
            <w:r>
              <w:rPr>
                <w:rFonts w:ascii="Aptos" w:hAnsi="Aptos"/>
                <w:b w:val="0"/>
                <w:sz w:val="19"/>
              </w:rPr>
              <w:t>Authentication, authorization, production configuration, backup strategy and audit work.</w:t>
            </w:r>
          </w:p>
        </w:tc>
      </w:tr>
      <w:tr>
        <w:tc>
          <w:tcPr>
            <w:tcW w:type="dxa" w:w="4968"/>
            <w:vAlign w:val="center"/>
          </w:tcPr>
          <w:p>
            <w:r/>
            <w:r>
              <w:rPr>
                <w:rFonts w:ascii="Aptos" w:hAnsi="Aptos"/>
                <w:b w:val="0"/>
                <w:sz w:val="19"/>
              </w:rPr>
              <w:t>Milestone 8 — Specialty expansion seams</w:t>
            </w:r>
          </w:p>
        </w:tc>
        <w:tc>
          <w:tcPr>
            <w:tcW w:type="dxa" w:w="4968"/>
            <w:vAlign w:val="center"/>
          </w:tcPr>
          <w:p>
            <w:r/>
            <w:r>
              <w:rPr>
                <w:rFonts w:ascii="Aptos" w:hAnsi="Aptos"/>
                <w:b w:val="0"/>
                <w:sz w:val="19"/>
              </w:rPr>
              <w:t>Refine specialty routing/components after bariatric workflow is proven.</w:t>
            </w:r>
          </w:p>
        </w:tc>
      </w:tr>
    </w:tbl>
    <w:p>
      <w:pPr>
        <w:pStyle w:val="Heading1"/>
      </w:pPr>
      <w:r>
        <w:t>17. Immediate implementation task</w:t>
      </w:r>
    </w:p>
    <w:p>
      <w:r>
        <w:t>The current first task is Milestone 0. Do not start JPA domain entities until the local stack has been proven.</w:t>
      </w:r>
    </w:p>
    <w:p>
      <w:pPr>
        <w:pStyle w:val="ListNumber"/>
      </w:pPr>
      <w:r>
        <w:t>Generate a Spring Boot project using Java 21 and Maven.</w:t>
      </w:r>
    </w:p>
    <w:p>
      <w:pPr>
        <w:pStyle w:val="ListNumber"/>
      </w:pPr>
      <w:r>
        <w:t>Add Spring Web, Spring Data JPA, Validation, PostgreSQL Driver, Flyway Migration and Spring Boot Test.</w:t>
      </w:r>
    </w:p>
    <w:p>
      <w:pPr>
        <w:pStyle w:val="ListNumber"/>
      </w:pPr>
      <w:r>
        <w:t>Run PostgreSQL locally with Docker.</w:t>
      </w:r>
    </w:p>
    <w:p>
      <w:pPr>
        <w:pStyle w:val="ListNumber"/>
      </w:pPr>
      <w:r>
        <w:t>Configure the application to connect to PostgreSQL.</w:t>
      </w:r>
    </w:p>
    <w:p>
      <w:pPr>
        <w:pStyle w:val="ListNumber"/>
      </w:pPr>
      <w:r>
        <w:t>Set spring.jpa.hibernate.ddl-auto=validate.</w:t>
      </w:r>
    </w:p>
    <w:p>
      <w:pPr>
        <w:pStyle w:val="ListNumber"/>
      </w:pPr>
      <w:r>
        <w:t>Create one disposable Flyway migration that creates a tiny test table.</w:t>
      </w:r>
    </w:p>
    <w:p>
      <w:pPr>
        <w:pStyle w:val="ListNumber"/>
      </w:pPr>
      <w:r>
        <w:t>Start the application and confirm Flyway runs and Hibernate validation succeeds.</w:t>
      </w:r>
    </w:p>
    <w:p>
      <w:pPr>
        <w:pStyle w:val="ListNumber"/>
      </w:pPr>
      <w:r>
        <w:t>Only then design and implement the first real migration.</w:t>
      </w:r>
    </w:p>
    <w:p>
      <w:pPr>
        <w:pStyle w:val="Heading1"/>
      </w:pPr>
      <w:r>
        <w:t>18. Development workflow</w:t>
      </w:r>
    </w:p>
    <w:p>
      <w:pPr>
        <w:pStyle w:val="ListBullet"/>
      </w:pPr>
      <w:r>
        <w:t>Implement one vertical slice at a time.</w:t>
      </w:r>
    </w:p>
    <w:p>
      <w:pPr>
        <w:pStyle w:val="ListBullet"/>
      </w:pPr>
      <w:r>
        <w:t>Keep commits small and intentional.</w:t>
      </w:r>
    </w:p>
    <w:p>
      <w:pPr>
        <w:pStyle w:val="ListBullet"/>
      </w:pPr>
      <w:r>
        <w:t>Prefer migrations before entity code when introducing persistent structures.</w:t>
      </w:r>
    </w:p>
    <w:p>
      <w:pPr>
        <w:pStyle w:val="ListBullet"/>
      </w:pPr>
      <w:r>
        <w:t>Write tests around business rules and authorization boundaries as those features arrive.</w:t>
      </w:r>
    </w:p>
    <w:p>
      <w:pPr>
        <w:pStyle w:val="ListBullet"/>
      </w:pPr>
      <w:r>
        <w:t>When implementation reveals a flaw in the design, revise the design explicitly rather than patching around it.</w:t>
      </w:r>
    </w:p>
    <w:p>
      <w:pPr>
        <w:pStyle w:val="ListBullet"/>
      </w:pPr>
      <w:r>
        <w:t>Do not add a feature merely because it might be useful someday.</w:t>
      </w:r>
    </w:p>
    <w:p>
      <w:pPr>
        <w:pStyle w:val="ListBullet"/>
      </w:pPr>
      <w:r>
        <w:t>Use the real doctor's feedback to prioritize workflow improvements.</w:t>
      </w:r>
    </w:p>
    <w:p>
      <w:pPr>
        <w:pStyle w:val="Heading1"/>
      </w:pPr>
      <w:r>
        <w:t>19. Decision log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DED"/>
          </w:tcPr>
          <w:p>
            <w:r/>
            <w:r>
              <w:rPr>
                <w:rFonts w:ascii="Aptos" w:hAnsi="Aptos"/>
                <w:b/>
                <w:sz w:val="19"/>
              </w:rPr>
              <w:t>ID</w:t>
            </w:r>
          </w:p>
        </w:tc>
        <w:tc>
          <w:tcPr>
            <w:tcW w:type="dxa" w:w="3312"/>
            <w:vAlign w:val="center"/>
            <w:shd w:fill="EDEDED"/>
          </w:tcPr>
          <w:p>
            <w:r/>
            <w:r>
              <w:rPr>
                <w:rFonts w:ascii="Aptos" w:hAnsi="Aptos"/>
                <w:b/>
                <w:sz w:val="19"/>
              </w:rPr>
              <w:t>Decision</w:t>
            </w:r>
          </w:p>
        </w:tc>
        <w:tc>
          <w:tcPr>
            <w:tcW w:type="dxa" w:w="3312"/>
            <w:vAlign w:val="center"/>
            <w:shd w:fill="EDEDED"/>
          </w:tcPr>
          <w:p>
            <w:r/>
            <w:r>
              <w:rPr>
                <w:rFonts w:ascii="Aptos" w:hAnsi="Aptos"/>
                <w:b/>
                <w:sz w:val="19"/>
              </w:rPr>
              <w:t>Rationale</w:t>
            </w:r>
          </w:p>
        </w:tc>
      </w:tr>
      <w:tr>
        <w:tc>
          <w:tcPr>
            <w:tcW w:type="dxa" w:w="3312"/>
            <w:vAlign w:val="center"/>
          </w:tcPr>
          <w:p>
            <w:r/>
            <w:r>
              <w:rPr>
                <w:rFonts w:ascii="Aptos" w:hAnsi="Aptos"/>
                <w:b w:val="0"/>
                <w:sz w:val="19"/>
              </w:rPr>
              <w:t>D-001</w:t>
            </w:r>
          </w:p>
        </w:tc>
        <w:tc>
          <w:tcPr>
            <w:tcW w:type="dxa" w:w="3312"/>
            <w:vAlign w:val="center"/>
          </w:tcPr>
          <w:p>
            <w:r/>
            <w:r>
              <w:rPr>
                <w:rFonts w:ascii="Aptos" w:hAnsi="Aptos"/>
                <w:b w:val="0"/>
                <w:sz w:val="19"/>
              </w:rPr>
              <w:t>Use a modular monolith.</w:t>
            </w:r>
          </w:p>
        </w:tc>
        <w:tc>
          <w:tcPr>
            <w:tcW w:type="dxa" w:w="3312"/>
            <w:vAlign w:val="center"/>
          </w:tcPr>
          <w:p>
            <w:r/>
            <w:r>
              <w:rPr>
                <w:rFonts w:ascii="Aptos" w:hAnsi="Aptos"/>
                <w:b w:val="0"/>
                <w:sz w:val="19"/>
              </w:rPr>
              <w:t>Reduces operational complexity while preserving clean feature boundaries.</w:t>
            </w:r>
          </w:p>
        </w:tc>
      </w:tr>
      <w:tr>
        <w:tc>
          <w:tcPr>
            <w:tcW w:type="dxa" w:w="3312"/>
            <w:vAlign w:val="center"/>
          </w:tcPr>
          <w:p>
            <w:r/>
            <w:r>
              <w:rPr>
                <w:rFonts w:ascii="Aptos" w:hAnsi="Aptos"/>
                <w:b w:val="0"/>
                <w:sz w:val="19"/>
              </w:rPr>
              <w:t>D-002</w:t>
            </w:r>
          </w:p>
        </w:tc>
        <w:tc>
          <w:tcPr>
            <w:tcW w:type="dxa" w:w="3312"/>
            <w:vAlign w:val="center"/>
          </w:tcPr>
          <w:p>
            <w:r/>
            <w:r>
              <w:rPr>
                <w:rFonts w:ascii="Aptos" w:hAnsi="Aptos"/>
                <w:b w:val="0"/>
                <w:sz w:val="19"/>
              </w:rPr>
              <w:t>Bariatrics is the first implemented specialty.</w:t>
            </w:r>
          </w:p>
        </w:tc>
        <w:tc>
          <w:tcPr>
            <w:tcW w:type="dxa" w:w="3312"/>
            <w:vAlign w:val="center"/>
          </w:tcPr>
          <w:p>
            <w:r/>
            <w:r>
              <w:rPr>
                <w:rFonts w:ascii="Aptos" w:hAnsi="Aptos"/>
                <w:b w:val="0"/>
                <w:sz w:val="19"/>
              </w:rPr>
              <w:t>It is the validated real-world workflow.</w:t>
            </w:r>
          </w:p>
        </w:tc>
      </w:tr>
      <w:tr>
        <w:tc>
          <w:tcPr>
            <w:tcW w:type="dxa" w:w="3312"/>
            <w:vAlign w:val="center"/>
          </w:tcPr>
          <w:p>
            <w:r/>
            <w:r>
              <w:rPr>
                <w:rFonts w:ascii="Aptos" w:hAnsi="Aptos"/>
                <w:b w:val="0"/>
                <w:sz w:val="19"/>
              </w:rPr>
              <w:t>D-003</w:t>
            </w:r>
          </w:p>
        </w:tc>
        <w:tc>
          <w:tcPr>
            <w:tcW w:type="dxa" w:w="3312"/>
            <w:vAlign w:val="center"/>
          </w:tcPr>
          <w:p>
            <w:r/>
            <w:r>
              <w:rPr>
                <w:rFonts w:ascii="Aptos" w:hAnsi="Aptos"/>
                <w:b w:val="0"/>
                <w:sz w:val="19"/>
              </w:rPr>
              <w:t>Architect for multiple specialties.</w:t>
            </w:r>
          </w:p>
        </w:tc>
        <w:tc>
          <w:tcPr>
            <w:tcW w:type="dxa" w:w="3312"/>
            <w:vAlign w:val="center"/>
          </w:tcPr>
          <w:p>
            <w:r/>
            <w:r>
              <w:rPr>
                <w:rFonts w:ascii="Aptos" w:hAnsi="Aptos"/>
                <w:b w:val="0"/>
                <w:sz w:val="19"/>
              </w:rPr>
              <w:t>Shared platform, specialty-specific forms/data.</w:t>
            </w:r>
          </w:p>
        </w:tc>
      </w:tr>
      <w:tr>
        <w:tc>
          <w:tcPr>
            <w:tcW w:type="dxa" w:w="3312"/>
            <w:vAlign w:val="center"/>
          </w:tcPr>
          <w:p>
            <w:r/>
            <w:r>
              <w:rPr>
                <w:rFonts w:ascii="Aptos" w:hAnsi="Aptos"/>
                <w:b w:val="0"/>
                <w:sz w:val="19"/>
              </w:rPr>
              <w:t>D-004</w:t>
            </w:r>
          </w:p>
        </w:tc>
        <w:tc>
          <w:tcPr>
            <w:tcW w:type="dxa" w:w="3312"/>
            <w:vAlign w:val="center"/>
          </w:tcPr>
          <w:p>
            <w:r/>
            <w:r>
              <w:rPr>
                <w:rFonts w:ascii="Aptos" w:hAnsi="Aptos"/>
                <w:b w:val="0"/>
                <w:sz w:val="19"/>
              </w:rPr>
              <w:t>Doctor-patient relationship is many-to-many-capable.</w:t>
            </w:r>
          </w:p>
        </w:tc>
        <w:tc>
          <w:tcPr>
            <w:tcW w:type="dxa" w:w="3312"/>
            <w:vAlign w:val="center"/>
          </w:tcPr>
          <w:p>
            <w:r/>
            <w:r>
              <w:rPr>
                <w:rFonts w:ascii="Aptos" w:hAnsi="Aptos"/>
                <w:b w:val="0"/>
                <w:sz w:val="19"/>
              </w:rPr>
              <w:t>Avoids hard-coding one doctor per patient.</w:t>
            </w:r>
          </w:p>
        </w:tc>
      </w:tr>
      <w:tr>
        <w:tc>
          <w:tcPr>
            <w:tcW w:type="dxa" w:w="3312"/>
            <w:vAlign w:val="center"/>
          </w:tcPr>
          <w:p>
            <w:r/>
            <w:r>
              <w:rPr>
                <w:rFonts w:ascii="Aptos" w:hAnsi="Aptos"/>
                <w:b w:val="0"/>
                <w:sz w:val="19"/>
              </w:rPr>
              <w:t>D-005</w:t>
            </w:r>
          </w:p>
        </w:tc>
        <w:tc>
          <w:tcPr>
            <w:tcW w:type="dxa" w:w="3312"/>
            <w:vAlign w:val="center"/>
          </w:tcPr>
          <w:p>
            <w:r/>
            <w:r>
              <w:rPr>
                <w:rFonts w:ascii="Aptos" w:hAnsi="Aptos"/>
                <w:b w:val="0"/>
                <w:sz w:val="19"/>
              </w:rPr>
              <w:t>Backend authorization is authoritative.</w:t>
            </w:r>
          </w:p>
        </w:tc>
        <w:tc>
          <w:tcPr>
            <w:tcW w:type="dxa" w:w="3312"/>
            <w:vAlign w:val="center"/>
          </w:tcPr>
          <w:p>
            <w:r/>
            <w:r>
              <w:rPr>
                <w:rFonts w:ascii="Aptos" w:hAnsi="Aptos"/>
                <w:b w:val="0"/>
                <w:sz w:val="19"/>
              </w:rPr>
              <w:t>Frontend visibility does not provide security.</w:t>
            </w:r>
          </w:p>
        </w:tc>
      </w:tr>
      <w:tr>
        <w:tc>
          <w:tcPr>
            <w:tcW w:type="dxa" w:w="3312"/>
            <w:vAlign w:val="center"/>
          </w:tcPr>
          <w:p>
            <w:r/>
            <w:r>
              <w:rPr>
                <w:rFonts w:ascii="Aptos" w:hAnsi="Aptos"/>
                <w:b w:val="0"/>
                <w:sz w:val="19"/>
              </w:rPr>
              <w:t>D-006</w:t>
            </w:r>
          </w:p>
        </w:tc>
        <w:tc>
          <w:tcPr>
            <w:tcW w:type="dxa" w:w="3312"/>
            <w:vAlign w:val="center"/>
          </w:tcPr>
          <w:p>
            <w:r/>
            <w:r>
              <w:rPr>
                <w:rFonts w:ascii="Aptos" w:hAnsi="Aptos"/>
                <w:b w:val="0"/>
                <w:sz w:val="19"/>
              </w:rPr>
              <w:t>Do not build a dynamic form engine initially.</w:t>
            </w:r>
          </w:p>
        </w:tc>
        <w:tc>
          <w:tcPr>
            <w:tcW w:type="dxa" w:w="3312"/>
            <w:vAlign w:val="center"/>
          </w:tcPr>
          <w:p>
            <w:r/>
            <w:r>
              <w:rPr>
                <w:rFonts w:ascii="Aptos" w:hAnsi="Aptos"/>
                <w:b w:val="0"/>
                <w:sz w:val="19"/>
              </w:rPr>
              <w:t>Avoids a large abstraction before multiple specialties are proven.</w:t>
            </w:r>
          </w:p>
        </w:tc>
      </w:tr>
      <w:tr>
        <w:tc>
          <w:tcPr>
            <w:tcW w:type="dxa" w:w="3312"/>
            <w:vAlign w:val="center"/>
          </w:tcPr>
          <w:p>
            <w:r/>
            <w:r>
              <w:rPr>
                <w:rFonts w:ascii="Aptos" w:hAnsi="Aptos"/>
                <w:b w:val="0"/>
                <w:sz w:val="19"/>
              </w:rPr>
              <w:t>D-007</w:t>
            </w:r>
          </w:p>
        </w:tc>
        <w:tc>
          <w:tcPr>
            <w:tcW w:type="dxa" w:w="3312"/>
            <w:vAlign w:val="center"/>
          </w:tcPr>
          <w:p>
            <w:r/>
            <w:r>
              <w:rPr>
                <w:rFonts w:ascii="Aptos" w:hAnsi="Aptos"/>
                <w:b w:val="0"/>
                <w:sz w:val="19"/>
              </w:rPr>
              <w:t>Flyway owns schema evolution.</w:t>
            </w:r>
          </w:p>
        </w:tc>
        <w:tc>
          <w:tcPr>
            <w:tcW w:type="dxa" w:w="3312"/>
            <w:vAlign w:val="center"/>
          </w:tcPr>
          <w:p>
            <w:r/>
            <w:r>
              <w:rPr>
                <w:rFonts w:ascii="Aptos" w:hAnsi="Aptos"/>
                <w:b w:val="0"/>
                <w:sz w:val="19"/>
              </w:rPr>
              <w:t>Reproducible, reviewable changes.</w:t>
            </w:r>
          </w:p>
        </w:tc>
      </w:tr>
      <w:tr>
        <w:tc>
          <w:tcPr>
            <w:tcW w:type="dxa" w:w="3312"/>
            <w:vAlign w:val="center"/>
          </w:tcPr>
          <w:p>
            <w:r/>
            <w:r>
              <w:rPr>
                <w:rFonts w:ascii="Aptos" w:hAnsi="Aptos"/>
                <w:b w:val="0"/>
                <w:sz w:val="19"/>
              </w:rPr>
              <w:t>D-008</w:t>
            </w:r>
          </w:p>
        </w:tc>
        <w:tc>
          <w:tcPr>
            <w:tcW w:type="dxa" w:w="3312"/>
            <w:vAlign w:val="center"/>
          </w:tcPr>
          <w:p>
            <w:r/>
            <w:r>
              <w:rPr>
                <w:rFonts w:ascii="Aptos" w:hAnsi="Aptos"/>
                <w:b w:val="0"/>
                <w:sz w:val="19"/>
              </w:rPr>
              <w:t>Separate demo data from production clinical data.</w:t>
            </w:r>
          </w:p>
        </w:tc>
        <w:tc>
          <w:tcPr>
            <w:tcW w:type="dxa" w:w="3312"/>
            <w:vAlign w:val="center"/>
          </w:tcPr>
          <w:p>
            <w:r/>
            <w:r>
              <w:rPr>
                <w:rFonts w:ascii="Aptos" w:hAnsi="Aptos"/>
                <w:b w:val="0"/>
                <w:sz w:val="19"/>
              </w:rPr>
              <w:t>Protects privacy and portfolio safety.</w:t>
            </w:r>
          </w:p>
        </w:tc>
      </w:tr>
    </w:tbl>
    <w:p>
      <w:pPr>
        <w:pStyle w:val="Heading1"/>
      </w:pPr>
      <w:r>
        <w:t>20. Open questions</w:t>
      </w:r>
    </w:p>
    <w:p>
      <w:r>
        <w:t>These questions are intentionally unresolved and should be answered only when they affect implementation.</w:t>
      </w:r>
    </w:p>
    <w:p>
      <w:pPr>
        <w:pStyle w:val="ListBullet"/>
      </w:pPr>
      <w:r>
        <w:t>Exact set of bariatric form fields required for the first usable consultation screen.</w:t>
      </w:r>
    </w:p>
    <w:p>
      <w:pPr>
        <w:pStyle w:val="ListBullet"/>
      </w:pPr>
      <w:r>
        <w:t>Which bariatric calculations must reproduce the doctor's existing formulas exactly.</w:t>
      </w:r>
    </w:p>
    <w:p>
      <w:pPr>
        <w:pStyle w:val="ListBullet"/>
      </w:pPr>
      <w:r>
        <w:t>Whether laboratory results are usually structured numeric data or mostly narrative notes.</w:t>
      </w:r>
    </w:p>
    <w:p>
      <w:pPr>
        <w:pStyle w:val="ListBullet"/>
      </w:pPr>
      <w:r>
        <w:t>Whether patient record numbers are globally unique or unique per doctor/practice.</w:t>
      </w:r>
    </w:p>
    <w:p>
      <w:pPr>
        <w:pStyle w:val="ListBullet"/>
      </w:pPr>
      <w:r>
        <w:t>Whether a doctor can change specialties or hold multiple specialties.</w:t>
      </w:r>
    </w:p>
    <w:p>
      <w:pPr>
        <w:pStyle w:val="ListBullet"/>
      </w:pPr>
      <w:r>
        <w:t>Whether staff users (assistant/receptionist) will eventually need access.</w:t>
      </w:r>
    </w:p>
    <w:p>
      <w:pPr>
        <w:pStyle w:val="ListBullet"/>
      </w:pPr>
      <w:r>
        <w:t>Whether multiple doctors in the same clinic should ever share patients by default.</w:t>
      </w:r>
    </w:p>
    <w:p>
      <w:pPr>
        <w:pStyle w:val="ListBullet"/>
      </w:pPr>
      <w:r>
        <w:t>Production hosting provider and deployment topology.</w:t>
      </w:r>
    </w:p>
    <w:p>
      <w:pPr>
        <w:pStyle w:val="ListBullet"/>
      </w:pPr>
      <w:r>
        <w:t>Backup retention and recovery requirements.</w:t>
      </w:r>
    </w:p>
    <w:p>
      <w:pPr>
        <w:pStyle w:val="ListBullet"/>
      </w:pPr>
      <w:r>
        <w:t>Regulatory/privacy obligations applicable to the intended production use.</w:t>
      </w:r>
    </w:p>
    <w:p>
      <w:pPr>
        <w:pStyle w:val="Heading1"/>
      </w:pPr>
      <w:r>
        <w:t>21. Definition of architectural success</w:t>
      </w:r>
    </w:p>
    <w:p>
      <w:r>
        <w:t>The architecture is succeeding if the bariatric workflow can be implemented simply today, while adding a second specialty later requires adding specialty-specific domain/UI pieces rather than rewriting authentication, patient identity, consultation history, or access-control foundations.</w:t>
      </w:r>
    </w:p>
    <w:p/>
    <w:p>
      <w:pPr>
        <w:jc w:val="center"/>
      </w:pPr>
      <w:r>
        <w:rPr>
          <w:i/>
        </w:rPr>
        <w:t>This is a living document. Update it when a decision materially changes.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Medical Practice Platform — Requirements &amp; Architecture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
    <w:name w:val="Decision"/>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