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480"/>
          <w:szCs w:val="480"/>
        </w:rPr>
        <w:t xml:space="preserve"/>
      </w:r>
    </w:p>
    <w:p>
      <w:pPr>
        <w:spacing w:after="0" w:before="0"/>
        <w:jc w:val="center"/>
      </w:pPr>
      <w:r>
        <w:rPr>
          <w:rFonts w:ascii="Arial" w:cs="Arial" w:eastAsia="Arial" w:hAnsi="Arial"/>
          <w:b/>
          <w:bCs/>
          <w:color w:val="1a2744"/>
          <w:sz w:val="56"/>
          <w:szCs w:val="56"/>
        </w:rPr>
        <w:t xml:space="preserve">INFORMATION FIELD THEORY</w:t>
      </w:r>
    </w:p>
    <w:p>
      <w:pPr>
        <w:spacing w:after="0" w:before="0"/>
      </w:pPr>
      <w:r>
        <w:rPr>
          <w:sz w:val="48"/>
          <w:szCs w:val="48"/>
        </w:rPr>
        <w:t xml:space="preserve"/>
      </w:r>
    </w:p>
    <w:p>
      <w:pPr>
        <w:spacing w:after="0" w:before="0"/>
        <w:jc w:val="center"/>
      </w:pPr>
      <w:r>
        <w:rPr>
          <w:rFonts w:ascii="Arial" w:cs="Arial" w:eastAsia="Arial" w:hAnsi="Arial"/>
          <w:i/>
          <w:iCs/>
          <w:color w:val="2d5186"/>
          <w:sz w:val="32"/>
          <w:szCs w:val="32"/>
        </w:rPr>
        <w:t xml:space="preserve">La Disolución Definitiva del Problema Duro de la Conciencia</w:t>
      </w:r>
    </w:p>
    <w:p>
      <w:pPr>
        <w:spacing w:after="0" w:before="0"/>
      </w:pPr>
      <w:r>
        <w:rPr>
          <w:sz w:val="24"/>
          <w:szCs w:val="24"/>
        </w:rPr>
        <w:t xml:space="preserve"/>
      </w:r>
    </w:p>
    <w:p>
      <w:pPr>
        <w:pBdr>
          <w:bottom w:val="single" w:color="c8a84b" w:sz="12" w:space="1"/>
        </w:pBdr>
        <w:spacing w:after="0" w:before="0"/>
      </w:pPr>
    </w:p>
    <w:p>
      <w:pPr>
        <w:spacing w:after="0" w:before="0"/>
      </w:pPr>
      <w:r>
        <w:rPr>
          <w:sz w:val="24"/>
          <w:szCs w:val="24"/>
        </w:rPr>
        <w:t xml:space="preserve"/>
      </w:r>
    </w:p>
    <w:p>
      <w:pPr>
        <w:spacing w:after="0" w:before="0"/>
        <w:jc w:val="center"/>
      </w:pPr>
      <w:r>
        <w:rPr>
          <w:rFonts w:ascii="Arial" w:cs="Arial" w:eastAsia="Arial" w:hAnsi="Arial"/>
          <w:color w:val="3b6ea5"/>
          <w:sz w:val="24"/>
          <w:szCs w:val="24"/>
        </w:rPr>
        <w:t xml:space="preserve">Monografía Académica Integrada — Edición Final Máxima</w:t>
      </w:r>
    </w:p>
    <w:p>
      <w:pPr>
        <w:spacing w:after="0" w:before="0"/>
      </w:pPr>
      <w:r>
        <w:rPr>
          <w:sz w:val="48"/>
          <w:szCs w:val="48"/>
        </w:rPr>
        <w:t xml:space="preserve"/>
      </w:r>
    </w:p>
    <w:p>
      <w:pPr>
        <w:spacing w:after="0" w:before="0"/>
        <w:jc w:val="center"/>
      </w:pPr>
      <w:r>
        <w:rPr>
          <w:rFonts w:ascii="Arial" w:cs="Arial" w:eastAsia="Arial" w:hAnsi="Arial"/>
          <w:b/>
          <w:bCs/>
          <w:color w:val="1a2744"/>
          <w:sz w:val="28"/>
          <w:szCs w:val="28"/>
        </w:rPr>
        <w:t xml:space="preserve">Juan Diego Vicente Gabancho</w:t>
      </w:r>
    </w:p>
    <w:p>
      <w:pPr>
        <w:spacing w:after="0" w:before="0"/>
      </w:pPr>
      <w:r>
        <w:rPr>
          <w:sz w:val="16"/>
          <w:szCs w:val="16"/>
        </w:rPr>
        <w:t xml:space="preserve"/>
      </w:r>
    </w:p>
    <w:p>
      <w:pPr>
        <w:spacing w:after="0" w:before="0"/>
        <w:jc w:val="center"/>
      </w:pPr>
      <w:r>
        <w:rPr>
          <w:rFonts w:ascii="Arial" w:cs="Arial" w:eastAsia="Arial" w:hAnsi="Arial"/>
          <w:color w:val="888888"/>
          <w:sz w:val="22"/>
          <w:szCs w:val="22"/>
        </w:rPr>
        <w:t xml:space="preserve">Abril 2026  ·  Versión Final Integrada</w:t>
      </w:r>
    </w:p>
    <w:p>
      <w:pPr>
        <w:spacing w:after="0" w:before="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ea5" w:sz="2"/>
              <w:left w:val="single" w:color="3b6ea5" w:sz="2"/>
              <w:bottom w:val="single" w:color="3b6ea5" w:sz="2"/>
              <w:right w:val="single" w:color="3b6ea5" w:sz="2"/>
            </w:tcBorders>
            <w:shd w:fill="F0F4FB" w:val="clear"/>
            <w:tcMar>
              <w:top w:type="dxa" w:w="120"/>
              <w:left w:type="dxa" w:w="240"/>
              <w:bottom w:type="dxa" w:w="120"/>
              <w:right w:type="dxa" w:w="240"/>
            </w:tcMar>
          </w:tcPr>
          <w:p>
            <w:pPr>
              <w:spacing w:after="40" w:before="40"/>
              <w:jc w:val="both"/>
            </w:pPr>
            <w:r>
              <w:rPr>
                <w:rFonts w:ascii="Arial" w:cs="Arial" w:eastAsia="Arial" w:hAnsi="Arial"/>
                <w:color w:val="555555"/>
                <w:sz w:val="20"/>
                <w:szCs w:val="20"/>
              </w:rPr>
              <w:t xml:space="preserve">Integra: IFT Monograph v1.0 · IFT Definitiva Máxima 2026 · Cogitate Consortium (Nature 2025) · DESI DR2 · GWTC-4.0 · IIT 4.0 · Orch-OR 2025-2026 · Buzea et al. (Axioms 2026) · Koch q-Désics (PRD 2025)</w:t>
            </w:r>
          </w:p>
        </w:tc>
      </w:tr>
    </w:tbl>
    <w:p>
      <w:r>
        <w:br w:type="page"/>
      </w:r>
    </w:p>
    <w:p>
      <w:pPr>
        <w:pStyle w:val="Heading1"/>
        <w:spacing w:after="160" w:before="360"/>
      </w:pPr>
      <w:r>
        <w:rPr>
          <w:rFonts w:ascii="Arial" w:cs="Arial" w:eastAsia="Arial" w:hAnsi="Arial"/>
          <w:b/>
          <w:bCs/>
          <w:color w:val="1a2744"/>
          <w:sz w:val="36"/>
          <w:szCs w:val="36"/>
        </w:rPr>
        <w:t xml:space="preserve">Resumen Ejecutivo</w:t>
      </w:r>
    </w:p>
    <w:p>
      <w:pPr>
        <w:pBdr>
          <w:bottom w:val="single" w:color="2d5186" w:sz="8" w:space="1"/>
        </w:pBdr>
        <w:spacing w:after="0" w:before="0"/>
      </w:pPr>
    </w:p>
    <w:p>
      <w:pPr>
        <w:spacing w:after="0" w:before="0"/>
      </w:pPr>
      <w:r>
        <w:rPr>
          <w:sz w:val="24"/>
          <w:szCs w:val="24"/>
        </w:rPr>
        <w:t xml:space="preserve"/>
      </w:r>
    </w:p>
    <w:p>
      <w:pPr>
        <w:spacing w:after="60" w:before="60"/>
        <w:jc w:val="both"/>
      </w:pPr>
      <w:r>
        <w:rPr>
          <w:rFonts w:ascii="Arial" w:cs="Arial" w:eastAsia="Arial" w:hAnsi="Arial"/>
          <w:color w:val="555555"/>
          <w:sz w:val="22"/>
          <w:szCs w:val="22"/>
        </w:rPr>
        <w:t xml:space="preserve">Este documento integra y maximiza, con rigor académico pleno, la teoría de la conciencia desarrollada en el marco de Information Field Theory (IFT). Se defiende que la conciencia —entendida como autopresencia subjetiva inevitable— no constituye un misterio ontológico adicional sino una propiedad emergente necesaria de sistemas biológicos vivos que alcanzan densidades suficientemente altas y dinámicas de información organizada.</w:t>
      </w:r>
    </w:p>
    <w:p>
      <w:pPr>
        <w:spacing w:after="0" w:before="0"/>
      </w:pPr>
      <w:r>
        <w:rPr>
          <w:sz w:val="16"/>
          <w:szCs w:val="16"/>
        </w:rPr>
        <w:t xml:space="preserve"/>
      </w:r>
    </w:p>
    <w:p>
      <w:pPr>
        <w:spacing w:after="60" w:before="60"/>
        <w:jc w:val="both"/>
      </w:pPr>
      <w:r>
        <w:rPr>
          <w:rFonts w:ascii="Arial" w:cs="Arial" w:eastAsia="Arial" w:hAnsi="Arial"/>
          <w:color w:val="555555"/>
          <w:sz w:val="22"/>
          <w:szCs w:val="22"/>
        </w:rPr>
        <w:t xml:space="preserve">La tesis central es doble: (1) el denominado 'problema duro' de David Chalmers se disuelve como artefacto de una formulación conceptualmente defectuosa que separa artificialmente estructura funcional y experiencia subjetiva; (2) la conciencia es formalmente caracterizable mediante la medida de integración informacional causal Φ_IFT derivada del campo escalar ρ(x) de IFT, con predicciones empíricamente testeables.</w:t>
      </w:r>
    </w:p>
    <w:p>
      <w:pPr>
        <w:spacing w:after="0" w:before="0"/>
      </w:pPr>
      <w:r>
        <w:rPr>
          <w:sz w:val="16"/>
          <w:szCs w:val="16"/>
        </w:rPr>
        <w:t xml:space="preserve"/>
      </w:r>
    </w:p>
    <w:p>
      <w:pPr>
        <w:spacing w:after="60" w:before="60"/>
        <w:jc w:val="both"/>
      </w:pPr>
      <w:r>
        <w:rPr>
          <w:rFonts w:ascii="Arial" w:cs="Arial" w:eastAsia="Arial" w:hAnsi="Arial"/>
          <w:color w:val="555555"/>
          <w:sz w:val="22"/>
          <w:szCs w:val="22"/>
        </w:rPr>
        <w:t xml:space="preserve">El documento responde sistemáticamente a las objeciones filosóficas más potentes (zombis filosóficos, argumento de Mary, brecha explicativa, panpsiquismo), formaliza matemáticamente el umbral de conciencia, integra los datos experimentales más recientes (Cogitate 2025, DESI DR2, GWTC-4.0, Orch-OR 2025-2026) y establece un cronograma de predicciones falsificables hasta 2030.</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3060" w:sz="2"/>
              <w:left w:val="single" w:color="a03060" w:sz="2"/>
              <w:bottom w:val="single" w:color="a03060" w:sz="2"/>
              <w:right w:val="single" w:color="a03060" w:sz="2"/>
            </w:tcBorders>
            <w:shd w:fill="FDEEF4" w:val="clear"/>
            <w:tcMar>
              <w:top w:type="dxa" w:w="120"/>
              <w:left w:type="dxa" w:w="240"/>
              <w:bottom w:type="dxa" w:w="120"/>
              <w:right w:type="dxa" w:w="240"/>
            </w:tcMar>
          </w:tcPr>
          <w:p>
            <w:pPr>
              <w:spacing w:after="60" w:before="0"/>
            </w:pPr>
            <w:r>
              <w:rPr>
                <w:rFonts w:ascii="Arial" w:cs="Arial" w:eastAsia="Arial" w:hAnsi="Arial"/>
                <w:b/>
                <w:bCs/>
                <w:color w:val="a03060"/>
                <w:sz w:val="22"/>
                <w:szCs w:val="22"/>
              </w:rPr>
              <w:t xml:space="preserve">Posición epistemológica</w:t>
            </w:r>
          </w:p>
          <w:p>
            <w:pPr>
              <w:spacing w:after="40" w:before="40"/>
              <w:jc w:val="both"/>
            </w:pPr>
            <w:r>
              <w:rPr>
                <w:rFonts w:ascii="Arial" w:cs="Arial" w:eastAsia="Arial" w:hAnsi="Arial"/>
                <w:color w:val="555555"/>
                <w:sz w:val="20"/>
                <w:szCs w:val="20"/>
              </w:rPr>
              <w:t xml:space="preserve">Este trabajo no pretende ser 'irrefutable' —criterio ajeno al método científico—. Constituye una explicación fuertemente restringida por los datos actuales, empíricamente testeable, predictivamente ventajosa respecto a marcos competidores y libre de supuestos ontológicos innecesarios. Como toda teoría científica, es revisable ante nueva evidencia.</w:t>
            </w:r>
          </w:p>
        </w:tc>
      </w:tr>
    </w:tbl>
    <w:p>
      <w:pPr>
        <w:spacing w:after="0" w:before="0"/>
      </w:pPr>
      <w:r>
        <w:rPr>
          <w:sz w:val="40"/>
          <w:szCs w:val="40"/>
        </w:rPr>
        <w:t xml:space="preserve"/>
      </w:r>
    </w:p>
    <w:p>
      <w:r>
        <w:br w:type="page"/>
      </w:r>
    </w:p>
    <w:p>
      <w:pPr>
        <w:pStyle w:val="Heading1"/>
        <w:spacing w:after="160" w:before="360"/>
      </w:pPr>
      <w:r>
        <w:rPr>
          <w:rFonts w:ascii="Arial" w:cs="Arial" w:eastAsia="Arial" w:hAnsi="Arial"/>
          <w:b/>
          <w:bCs/>
          <w:color w:val="1a2744"/>
          <w:sz w:val="36"/>
          <w:szCs w:val="36"/>
        </w:rPr>
        <w:t xml:space="preserve">PARTE I — FUNDAMENTOS CONCEPTUALES Y EL PROBLEMA DURO</w:t>
      </w:r>
    </w:p>
    <w:p>
      <w:pPr>
        <w:pBdr>
          <w:bottom w:val="single" w:color="2d5186" w:sz="8" w:space="1"/>
        </w:pBdr>
        <w:spacing w:after="0" w:before="0"/>
      </w:pPr>
    </w:p>
    <w:p>
      <w:pPr>
        <w:spacing w:after="0" w:before="0"/>
      </w:pPr>
      <w:r>
        <w:rPr>
          <w:sz w:val="24"/>
          <w:szCs w:val="24"/>
        </w:rPr>
        <w:t xml:space="preserve"/>
      </w:r>
    </w:p>
    <w:p>
      <w:pPr>
        <w:pStyle w:val="Heading2"/>
        <w:spacing w:after="120" w:before="280"/>
      </w:pPr>
      <w:r>
        <w:rPr>
          <w:rFonts w:ascii="Arial" w:cs="Arial" w:eastAsia="Arial" w:hAnsi="Arial"/>
          <w:b/>
          <w:bCs/>
          <w:color w:val="2d5186"/>
          <w:sz w:val="28"/>
          <w:szCs w:val="28"/>
        </w:rPr>
        <w:t xml:space="preserve">1.1  Formulación original del problema duro</w:t>
      </w:r>
    </w:p>
    <w:p>
      <w:pPr>
        <w:spacing w:after="60" w:before="60"/>
        <w:jc w:val="both"/>
      </w:pPr>
      <w:r>
        <w:rPr>
          <w:rFonts w:ascii="Arial" w:cs="Arial" w:eastAsia="Arial" w:hAnsi="Arial"/>
          <w:color w:val="555555"/>
          <w:sz w:val="22"/>
          <w:szCs w:val="22"/>
        </w:rPr>
        <w:t xml:space="preserve">David Chalmers (1995) articuló el 'problema duro de la conciencia' (hard problem) distinguiéndolo de los 'problemas fáciles': mientras estos últimos refieren a funciones cognitivas explicables en principio por procesos físicos (discriminación perceptual, integración de información, acceso introspectivo), el problema duro pregunta por qué esos procesos van acompañados de experiencia subjetiva cualitativa en lugar de ocurrir 'en la oscuridad'.</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La formulación se apoya en dos intuiciones conceptuales complementarias: la concebibilidad de zombis filosóficos (sistemas funcionalmente idénticos a nosotros pero sin experiencia interna) y el argumento de Mary (un científica omnisciente sobre la física del color que, al ver rojo por primera vez, aparentemente aprende algo nuevo). Ambas intuiciones pretenden mostrar que la experiencia subjetiva —los qualia— no es reducible a ninguna descripción funcional o física.</w:t>
      </w:r>
    </w:p>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1.2  La definición de trabajo adoptada en este documento</w:t>
      </w:r>
    </w:p>
    <w:p>
      <w:pPr>
        <w:spacing w:after="60" w:before="60"/>
        <w:jc w:val="both"/>
      </w:pPr>
      <w:r>
        <w:rPr>
          <w:rFonts w:ascii="Arial" w:cs="Arial" w:eastAsia="Arial" w:hAnsi="Arial"/>
          <w:color w:val="555555"/>
          <w:sz w:val="22"/>
          <w:szCs w:val="22"/>
        </w:rPr>
        <w:t xml:space="preserve">La conciencia se define aquí como la autopresencia subjetiva inevitable que surge cuando un sistema biológico vivo alcanza una densidad suficientemente alta y dinámica de información organizada, mediante la interacción continua y dual entre niveles de procesamiento encarnado: el homeostático-visceral básico (anclado evolutivamente en tronco encefálico, hipotálamo y vísceras) y el integrador superior (redes corticales distribuidas).</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Esta definición contiene cuatro componentes esenciales que deben distinguirse analíticamente:</w:t>
      </w:r>
    </w:p>
    <w:p>
      <w:pPr>
        <w:spacing w:after="0" w:before="0"/>
      </w:pPr>
      <w:r>
        <w:rPr>
          <w:sz w:val="8"/>
          <w:szCs w:val="8"/>
        </w:rPr>
        <w:t xml:space="preserve"/>
      </w:r>
    </w:p>
    <w:p>
      <w:pPr>
        <w:pStyle w:val="ListParagraph"/>
        <w:numPr>
          <w:ilvl w:val="0"/>
          <w:numId w:val="2"/>
        </w:numPr>
        <w:spacing w:after="40" w:before="40"/>
        <w:jc w:val="both"/>
      </w:pPr>
      <w:r>
        <w:rPr>
          <w:rFonts w:ascii="Arial" w:cs="Arial" w:eastAsia="Arial" w:hAnsi="Arial"/>
          <w:color w:val="555555"/>
          <w:sz w:val="22"/>
          <w:szCs w:val="22"/>
        </w:rPr>
        <w:t xml:space="preserve">Densidad informacional: no toda integración de información produce conciencia; se requiere una densidad y dinámica específica, formalmente capturada por Φ_IFT &gt; Φ_c.</w:t>
      </w:r>
    </w:p>
    <w:p>
      <w:pPr>
        <w:pStyle w:val="ListParagraph"/>
        <w:numPr>
          <w:ilvl w:val="0"/>
          <w:numId w:val="2"/>
        </w:numPr>
        <w:spacing w:after="40" w:before="40"/>
        <w:jc w:val="both"/>
      </w:pPr>
      <w:r>
        <w:rPr>
          <w:rFonts w:ascii="Arial" w:cs="Arial" w:eastAsia="Arial" w:hAnsi="Arial"/>
          <w:color w:val="555555"/>
          <w:sz w:val="22"/>
          <w:szCs w:val="22"/>
        </w:rPr>
        <w:t xml:space="preserve">Dualidad reguladora: la interacción bidireccional entre nivel visceral-homeostático y nivel cortical-integrador genera un agente que se autopercibe como unidad.</w:t>
      </w:r>
    </w:p>
    <w:p>
      <w:pPr>
        <w:pStyle w:val="ListParagraph"/>
        <w:numPr>
          <w:ilvl w:val="0"/>
          <w:numId w:val="2"/>
        </w:numPr>
        <w:spacing w:after="40" w:before="40"/>
        <w:jc w:val="both"/>
      </w:pPr>
      <w:r>
        <w:rPr>
          <w:rFonts w:ascii="Arial" w:cs="Arial" w:eastAsia="Arial" w:hAnsi="Arial"/>
          <w:color w:val="555555"/>
          <w:sz w:val="22"/>
          <w:szCs w:val="22"/>
        </w:rPr>
        <w:t xml:space="preserve">Encarnación biológica: el sustrato físico con metabolismo real, homeostasis que motiva o duele e historia evolutiva de ~3.8 Ga no es contingente sino constitutivo.</w:t>
      </w:r>
    </w:p>
    <w:p>
      <w:pPr>
        <w:pStyle w:val="ListParagraph"/>
        <w:numPr>
          <w:ilvl w:val="0"/>
          <w:numId w:val="2"/>
        </w:numPr>
        <w:spacing w:after="40" w:before="40"/>
        <w:jc w:val="both"/>
      </w:pPr>
      <w:r>
        <w:rPr>
          <w:rFonts w:ascii="Arial" w:cs="Arial" w:eastAsia="Arial" w:hAnsi="Arial"/>
          <w:color w:val="555555"/>
          <w:sz w:val="22"/>
          <w:szCs w:val="22"/>
        </w:rPr>
        <w:t xml:space="preserve">Prolongación espacio-temporal: el sistema no solo procesa; se reconoce y prolonga coherentemente en el flujo del universo como agente unificado.</w:t>
      </w:r>
    </w:p>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1.3  Qué significa exactamente 'luz fenomenal vs oscuridad'</w:t>
      </w:r>
    </w:p>
    <w:p>
      <w:pPr>
        <w:spacing w:after="60" w:before="60"/>
        <w:jc w:val="both"/>
      </w:pPr>
      <w:r>
        <w:rPr>
          <w:rFonts w:ascii="Arial" w:cs="Arial" w:eastAsia="Arial" w:hAnsi="Arial"/>
          <w:color w:val="555555"/>
          <w:sz w:val="22"/>
          <w:szCs w:val="22"/>
        </w:rPr>
        <w:t xml:space="preserve">La 'luz fenomenal' es el hecho irreductible de que hay algo que se siente desde dentro: ver el rojo no es solo detectar ~650 nm y reaccionar, sino el rojo apareciendo con su cualidad vívida. Sentir dolor no es solo activar nociceptores, sino el dolor doliendo con su urgencia característica. La 'oscuridad' sería que exactamente los mismos mecanismos operen sin ningún aspecto subjetivo —el zombie filosófico.</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La posición aquí defendida es que postular tal oscuridad resulta conceptualmente incoherente cuando se describe completamente la organización biológica encarnada: no hay ninguna propiedad fenoménica flotando separada de los procesos; la fenomenología es idéntica al proceso tal como ocurre en ese sustrato. La pregunta '¿por qué hay luz en vez de oscuridad?' presupone una separación que el análisis correcto disuelve.</w:t>
      </w:r>
    </w:p>
    <w:p>
      <w:pPr>
        <w:spacing w:after="0" w:before="0"/>
      </w:pPr>
      <w:r>
        <w:rPr>
          <w:sz w:val="40"/>
          <w:szCs w:val="40"/>
        </w:rPr>
        <w:t xml:space="preserve"/>
      </w:r>
    </w:p>
    <w:p>
      <w:r>
        <w:br w:type="page"/>
      </w:r>
    </w:p>
    <w:p>
      <w:pPr>
        <w:pStyle w:val="Heading1"/>
        <w:spacing w:after="160" w:before="360"/>
      </w:pPr>
      <w:r>
        <w:rPr>
          <w:rFonts w:ascii="Arial" w:cs="Arial" w:eastAsia="Arial" w:hAnsi="Arial"/>
          <w:b/>
          <w:bCs/>
          <w:color w:val="1a2744"/>
          <w:sz w:val="36"/>
          <w:szCs w:val="36"/>
        </w:rPr>
        <w:t xml:space="preserve">PARTE II — DISOLUCIÓN DEL PROBLEMA DURO</w:t>
      </w:r>
    </w:p>
    <w:p>
      <w:pPr>
        <w:pBdr>
          <w:bottom w:val="single" w:color="2d5186" w:sz="8" w:space="1"/>
        </w:pBdr>
        <w:spacing w:after="0" w:before="0"/>
      </w:pPr>
    </w:p>
    <w:p>
      <w:pPr>
        <w:spacing w:after="0" w:before="0"/>
      </w:pPr>
      <w:r>
        <w:rPr>
          <w:sz w:val="24"/>
          <w:szCs w:val="24"/>
        </w:rPr>
        <w:t xml:space="preserve"/>
      </w:r>
    </w:p>
    <w:p>
      <w:pPr>
        <w:pStyle w:val="Heading2"/>
        <w:spacing w:after="120" w:before="280"/>
      </w:pPr>
      <w:r>
        <w:rPr>
          <w:rFonts w:ascii="Arial" w:cs="Arial" w:eastAsia="Arial" w:hAnsi="Arial"/>
          <w:b/>
          <w:bCs/>
          <w:color w:val="2d5186"/>
          <w:sz w:val="28"/>
          <w:szCs w:val="28"/>
        </w:rPr>
        <w:t xml:space="preserve">2.1  Estrategia de disolución vs resolución</w:t>
      </w:r>
    </w:p>
    <w:p>
      <w:pPr>
        <w:spacing w:after="60" w:before="60"/>
        <w:jc w:val="both"/>
      </w:pPr>
      <w:r>
        <w:rPr>
          <w:rFonts w:ascii="Arial" w:cs="Arial" w:eastAsia="Arial" w:hAnsi="Arial"/>
          <w:color w:val="555555"/>
          <w:sz w:val="22"/>
          <w:szCs w:val="22"/>
        </w:rPr>
        <w:t xml:space="preserve">Distinguimos entre 'resolver' y 'disolver' el problema duro. Resolverlo implicaría encontrar un mecanismo físico que 'produzca' experiencia como output. Disolverlo implica mostrar que la pregunta está mal formulada porque presupone una distinción —entre estructura funcional y experiencia subjetiva— que no existe en sistemas vivos densamente organizados.</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La estrategia de disolución adoptada aquí es conceptualmente cercana al ilusionismo moderado (Frankish 2016), al naturalismo biológico (Searle 1992) y a las posiciones de disolución via cognición encarnada (Thompson 2007, Varela et al. 1991). No obstante, se diferencia de todas ellas al proporcionar una formalización matemática positiva mediante Φ_IFT que hace la posición empíricamente distinguible.</w:t>
      </w:r>
    </w:p>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2.2  Respuesta al argumento del zombi filosófico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3060" w:sz="2"/>
              <w:left w:val="single" w:color="a03060" w:sz="2"/>
              <w:bottom w:val="single" w:color="a03060" w:sz="2"/>
              <w:right w:val="single" w:color="a03060" w:sz="2"/>
            </w:tcBorders>
            <w:shd w:fill="FDEEF4" w:val="clear"/>
            <w:tcMar>
              <w:top w:type="dxa" w:w="120"/>
              <w:left w:type="dxa" w:w="240"/>
              <w:bottom w:type="dxa" w:w="120"/>
              <w:right w:type="dxa" w:w="240"/>
            </w:tcMar>
          </w:tcPr>
          <w:p>
            <w:pPr>
              <w:spacing w:after="60" w:before="0"/>
            </w:pPr>
            <w:r>
              <w:rPr>
                <w:rFonts w:ascii="Arial" w:cs="Arial" w:eastAsia="Arial" w:hAnsi="Arial"/>
                <w:b/>
                <w:bCs/>
                <w:color w:val="a03060"/>
                <w:sz w:val="22"/>
                <w:szCs w:val="22"/>
              </w:rPr>
              <w:t xml:space="preserve">Objeción (Chalmers 1995)</w:t>
            </w:r>
          </w:p>
          <w:p>
            <w:pPr>
              <w:spacing w:after="40" w:before="40"/>
              <w:jc w:val="both"/>
            </w:pPr>
            <w:r>
              <w:rPr>
                <w:rFonts w:ascii="Arial" w:cs="Arial" w:eastAsia="Arial" w:hAnsi="Arial"/>
                <w:color w:val="555555"/>
                <w:sz w:val="20"/>
                <w:szCs w:val="20"/>
              </w:rPr>
              <w:t xml:space="preserve">Es lógicamente concebible un zombi físico-funcional: un ser idéntico a nosotros en toda propiedad funcional pero sin experiencia subjetiva alguna. Si tal zombi es concebible, entonces la experiencia subjetiva no es idéntica ni reducible a ninguna propiedad funcional.</w:t>
            </w:r>
          </w:p>
        </w:tc>
      </w:tr>
    </w:tbl>
    <w:p>
      <w:pPr>
        <w:spacing w:after="0" w:before="0"/>
      </w:pPr>
      <w:r>
        <w:rPr>
          <w:sz w:val="16"/>
          <w:szCs w:val="16"/>
        </w:rPr>
        <w:t xml:space="preserve"/>
      </w:r>
    </w:p>
    <w:p>
      <w:pPr>
        <w:spacing w:after="60" w:before="60"/>
        <w:jc w:val="both"/>
      </w:pPr>
      <w:r>
        <w:rPr>
          <w:rFonts w:ascii="Arial" w:cs="Arial" w:eastAsia="Arial" w:hAnsi="Arial"/>
          <w:color w:val="555555"/>
          <w:sz w:val="22"/>
          <w:szCs w:val="22"/>
        </w:rPr>
        <w:t xml:space="preserve">La concebibilidad aparente del zombi depende de un error de categoría: supone que los correlatos funcionales de la conciencia son separables en principio de los aspectos subjetivos, como si la fenomenología fuera una propiedad 'añadida' que podría estar o no presente. Esta suposición es precisa lo que se niega.</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En sistemas biológicos encarnados con densidad informacional Φ_IFT &gt; Φ_c, la integración informacional causal y la autopresencia subjetiva no son dos hechos distintos: son el mismo hecho descrito desde perspectivas complementarias. Un 'zombi de IFT' sería un sistema con Φ_IFT &gt; Φ_c pero sin experiencia —contradicción interna si la ecuación Φ_IFT = Φ_IFT[ρ] es correcta.</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La concebibilidad modal del zombi no prueba posibilidad metafísica: podemos 'concebir' agua sin H₂O antes de conocer la química, pero ello no hace al agua sin H₂O metafísicamente posible. Análogamente, la concebibilidad del zombi refleja ignorancia de la identidad entre organización biológica densa y experiencia, no una posibilidad real.</w:t>
      </w:r>
    </w:p>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2.3  Respuesta al argumento de Mary (Jackson 1982)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3060" w:sz="2"/>
              <w:left w:val="single" w:color="a03060" w:sz="2"/>
              <w:bottom w:val="single" w:color="a03060" w:sz="2"/>
              <w:right w:val="single" w:color="a03060" w:sz="2"/>
            </w:tcBorders>
            <w:shd w:fill="FDEEF4" w:val="clear"/>
            <w:tcMar>
              <w:top w:type="dxa" w:w="120"/>
              <w:left w:type="dxa" w:w="240"/>
              <w:bottom w:type="dxa" w:w="120"/>
              <w:right w:type="dxa" w:w="240"/>
            </w:tcMar>
          </w:tcPr>
          <w:p>
            <w:pPr>
              <w:spacing w:after="60" w:before="0"/>
            </w:pPr>
            <w:r>
              <w:rPr>
                <w:rFonts w:ascii="Arial" w:cs="Arial" w:eastAsia="Arial" w:hAnsi="Arial"/>
                <w:b/>
                <w:bCs/>
                <w:color w:val="a03060"/>
                <w:sz w:val="22"/>
                <w:szCs w:val="22"/>
              </w:rPr>
              <w:t xml:space="preserve">Objeción (Jackson 1982)</w:t>
            </w:r>
          </w:p>
          <w:p>
            <w:pPr>
              <w:spacing w:after="40" w:before="40"/>
              <w:jc w:val="both"/>
            </w:pPr>
            <w:r>
              <w:rPr>
                <w:rFonts w:ascii="Arial" w:cs="Arial" w:eastAsia="Arial" w:hAnsi="Arial"/>
                <w:color w:val="555555"/>
                <w:sz w:val="20"/>
                <w:szCs w:val="20"/>
              </w:rPr>
              <w:t xml:space="preserve">Mary es una científica confinada en un cuarto en blanco y negro que conoce todos los hechos físicos sobre la visión del color. Al salir y ver rojo por primera vez, aprende algo nuevo: 'cómo es' ver rojo. Luego, había hechos no físicos sobre la experiencia que no estaban en su conocimiento físico completo.</w:t>
            </w:r>
          </w:p>
        </w:tc>
      </w:tr>
    </w:tbl>
    <w:p>
      <w:pPr>
        <w:spacing w:after="0" w:before="0"/>
      </w:pPr>
      <w:r>
        <w:rPr>
          <w:sz w:val="16"/>
          <w:szCs w:val="16"/>
        </w:rPr>
        <w:t xml:space="preserve"/>
      </w:r>
    </w:p>
    <w:p>
      <w:pPr>
        <w:spacing w:after="60" w:before="60"/>
        <w:jc w:val="both"/>
      </w:pPr>
      <w:r>
        <w:rPr>
          <w:rFonts w:ascii="Arial" w:cs="Arial" w:eastAsia="Arial" w:hAnsi="Arial"/>
          <w:color w:val="555555"/>
          <w:sz w:val="22"/>
          <w:szCs w:val="22"/>
        </w:rPr>
        <w:t xml:space="preserve">El argumento de Mary presupone que el conocimiento físico-funcional 'completo' puede ser obtenido sin la instanciación del proceso mismo. Pero 'conocer todos los hechos sobre la visión del color' no equivale a tener los estados representacionales que constituyen ver rojo en un sistema biológico encarnado.</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Lo que Mary aprende al salir del cuarto no es un hecho proposicional nuevo, sino que adquiere una nueva capacidad representacional: puede ahora ejemplificar el estado φ_rojo en su propio sistema. La distinción no es entre hechos físicos e irreductiblemente fenoménicos, sino entre conocimiento abstracto (descripciones de tercera persona) y conocimiento capacitador (instanciación de estados de primera persona). Esto es perfectamente compatible con el monismo informacional.</w:t>
      </w:r>
    </w:p>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2.4  Respuesta a la brecha explicativa</w:t>
      </w:r>
    </w:p>
    <w:p>
      <w:pPr>
        <w:spacing w:after="60" w:before="60"/>
        <w:jc w:val="both"/>
      </w:pPr>
      <w:r>
        <w:rPr>
          <w:rFonts w:ascii="Arial" w:cs="Arial" w:eastAsia="Arial" w:hAnsi="Arial"/>
          <w:color w:val="555555"/>
          <w:sz w:val="22"/>
          <w:szCs w:val="22"/>
        </w:rPr>
        <w:t xml:space="preserve">Joseph Levine (1983) argumentó que incluso si la conciencia fuera idéntica a ciertos estados neurales, persistiría una 'brecha explicativa': no entenderíamos por qué esos estados neurales tienen las propiedades fenoménicas que tienen. Esta brecha, se argumenta, revela algo incompleto en la explicación física.</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La respuesta desde IFT es que la brecha explicativa percibida refleja la ausencia de la descripción correcta, no una imposibilidad ontológica. Una vez que se especifica formalmente Φ_IFT[ρ] y se mapean los qualia como sectores topológicos de la fase Φ(x) —véase Capítulo 3.3 más adelante— la brecha se cierra: cada quale distinto corresponde a un número de enrollamiento topológico distinto n = (1/2π) ∮ dΦ, derivable en principio de la configuración de ρ(x).</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Esto no es una promesa: es un programa investigativo con predicciones concretas (el gradiente Fisher en corteza posterior debe correlacionar cuantitativamente con los qualia reportados). La brecha persiste hoy por limitaciones instrumentales y teóricas, no por una imposibilidad intrínseca.</w:t>
      </w:r>
    </w:p>
    <w:p>
      <w:pPr>
        <w:spacing w:after="0" w:before="0"/>
      </w:pPr>
      <w:r>
        <w:rPr>
          <w:sz w:val="40"/>
          <w:szCs w:val="40"/>
        </w:rPr>
        <w:t xml:space="preserve"/>
      </w:r>
    </w:p>
    <w:p>
      <w:r>
        <w:br w:type="page"/>
      </w:r>
    </w:p>
    <w:p>
      <w:pPr>
        <w:pStyle w:val="Heading1"/>
        <w:spacing w:after="160" w:before="360"/>
      </w:pPr>
      <w:r>
        <w:rPr>
          <w:rFonts w:ascii="Arial" w:cs="Arial" w:eastAsia="Arial" w:hAnsi="Arial"/>
          <w:b/>
          <w:bCs/>
          <w:color w:val="1a2744"/>
          <w:sz w:val="36"/>
          <w:szCs w:val="36"/>
        </w:rPr>
        <w:t xml:space="preserve">PARTE III — MARCO FORMAL DE IFT PARA LA CONCIENCIA</w:t>
      </w:r>
    </w:p>
    <w:p>
      <w:pPr>
        <w:pBdr>
          <w:bottom w:val="single" w:color="2d5186" w:sz="8" w:space="1"/>
        </w:pBdr>
        <w:spacing w:after="0" w:before="0"/>
      </w:pPr>
    </w:p>
    <w:p>
      <w:pPr>
        <w:spacing w:after="0" w:before="0"/>
      </w:pPr>
      <w:r>
        <w:rPr>
          <w:sz w:val="24"/>
          <w:szCs w:val="24"/>
        </w:rPr>
        <w:t xml:space="preserve"/>
      </w:r>
    </w:p>
    <w:p>
      <w:pPr>
        <w:pStyle w:val="Heading2"/>
        <w:spacing w:after="120" w:before="280"/>
      </w:pPr>
      <w:r>
        <w:rPr>
          <w:rFonts w:ascii="Arial" w:cs="Arial" w:eastAsia="Arial" w:hAnsi="Arial"/>
          <w:b/>
          <w:bCs/>
          <w:color w:val="2d5186"/>
          <w:sz w:val="28"/>
          <w:szCs w:val="28"/>
        </w:rPr>
        <w:t xml:space="preserve">3.1  El campo primitivo ρ(x) y sus objetos derivados</w:t>
      </w:r>
    </w:p>
    <w:p>
      <w:pPr>
        <w:spacing w:after="60" w:before="60"/>
        <w:jc w:val="both"/>
      </w:pPr>
      <w:r>
        <w:rPr>
          <w:rFonts w:ascii="Arial" w:cs="Arial" w:eastAsia="Arial" w:hAnsi="Arial"/>
          <w:color w:val="555555"/>
          <w:sz w:val="22"/>
          <w:szCs w:val="22"/>
        </w:rPr>
        <w:t xml:space="preserve">IFT propone un monismo informacional: el único objeto primitivo es la densidad de información relacional ρ(x), campo escalar positivo, C², integrable. Todo lo demás —geometría, masa, fuerzas gauge, termodinámica, conciencia— emerge de ρ(x) por transformaciones matemáticas determinadas.</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Los objetos fundamentales del formalismo son:</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Símbolo</w:t>
            </w:r>
          </w:p>
        </w:tc>
        <w:tc>
          <w:tcPr>
            <w:tcW w:type="dxa" w:w="32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Definición</w:t>
            </w:r>
          </w:p>
        </w:tc>
        <w:tc>
          <w:tcPr>
            <w:tcW w:type="dxa" w:w="436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Interpretación Física</w:t>
            </w:r>
          </w:p>
        </w:tc>
      </w:tr>
      <w:tr>
        <w:tc>
          <w:tcPr>
            <w:tcW w:type="dxa" w:w="1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ρ(x)</w:t>
            </w:r>
          </w:p>
        </w:tc>
        <w:tc>
          <w:tcPr>
            <w:tcW w:type="dxa" w:w="32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Densidad informacional escalar &gt; 0, C²</w:t>
            </w:r>
          </w:p>
        </w:tc>
        <w:tc>
          <w:tcPr>
            <w:tcW w:type="dxa" w:w="43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Campo primitivo — sustrato de toda realidad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φ(x) = ln ρ(x)</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Dilatón logarítmico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Simplifica la acción; genera métrica Fisher</w:t>
            </w:r>
          </w:p>
        </w:tc>
      </w:tr>
      <w:tr>
        <w:tc>
          <w:tcPr>
            <w:tcW w:type="dxa" w:w="1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u(x) = √ρ</w:t>
            </w:r>
          </w:p>
        </w:tc>
        <w:tc>
          <w:tcPr>
            <w:tcW w:type="dxa" w:w="32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Variable de linealización exacta</w:t>
            </w:r>
          </w:p>
        </w:tc>
        <w:tc>
          <w:tcPr>
            <w:tcW w:type="dxa" w:w="43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Satisface Klein-Gordon exactamente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Ξ(x) = |∇ρ|/ρ</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Gradiente informacional [m⁻¹]</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Controla masa, coherencia, curvatura, Φ_IFT</w:t>
            </w:r>
          </w:p>
        </w:tc>
      </w:tr>
      <w:tr>
        <w:tc>
          <w:tcPr>
            <w:tcW w:type="dxa" w:w="1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Φ(x)</w:t>
            </w:r>
          </w:p>
        </w:tc>
        <w:tc>
          <w:tcPr>
            <w:tcW w:type="dxa" w:w="32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Fase del campo cuántico</w:t>
            </w:r>
          </w:p>
        </w:tc>
        <w:tc>
          <w:tcPr>
            <w:tcW w:type="dxa" w:w="43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Genera fuerzas gauge; sectores topológicos = qualia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Φ_IFT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Integración informacional causal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Medida formal de conciencia</w:t>
            </w:r>
          </w:p>
        </w:tc>
      </w:tr>
    </w:tbl>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3.2  Definición formal de Φ_IFT</w:t>
      </w:r>
    </w:p>
    <w:p>
      <w:pPr>
        <w:spacing w:after="60" w:before="60"/>
        <w:jc w:val="both"/>
      </w:pPr>
      <w:r>
        <w:rPr>
          <w:rFonts w:ascii="Arial" w:cs="Arial" w:eastAsia="Arial" w:hAnsi="Arial"/>
          <w:color w:val="555555"/>
          <w:sz w:val="22"/>
          <w:szCs w:val="22"/>
        </w:rPr>
        <w:t xml:space="preserve">La cantidad de conciencia en IFT se define como integral de tres contribuciones independientes sobre el volumen del sistema Ω:</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8A84B" w:sz="1"/>
              <w:left w:val="single" w:color="C8A84B" w:sz="1"/>
              <w:bottom w:val="single" w:color="C8A84B" w:sz="1"/>
              <w:right w:val="single" w:color="C8A84B" w:sz="1"/>
            </w:tcBorders>
            <w:shd w:fill="F2EDD7" w:val="clear"/>
            <w:tcMar>
              <w:top w:type="dxa" w:w="100"/>
              <w:left w:type="dxa" w:w="200"/>
              <w:bottom w:type="dxa" w:w="100"/>
              <w:right w:type="dxa" w:w="120"/>
            </w:tcMar>
          </w:tcPr>
          <w:p>
            <w:pPr>
              <w:jc w:val="left"/>
            </w:pPr>
            <w:r>
              <w:rPr>
                <w:rFonts w:ascii="Courier New" w:cs="Courier New" w:eastAsia="Courier New" w:hAnsi="Courier New"/>
                <w:b/>
                <w:bCs/>
                <w:color w:val="6b4600"/>
                <w:sz w:val="20"/>
                <w:szCs w:val="20"/>
              </w:rPr>
              <w:t xml:space="preserve">Φ_IFT = ∫_Ω [ ρ·ln(ρ/ρ_base) + (1/2)·Tr(κ_Fisher) + I_causal(Φ,δρ) ] dV</w:t>
            </w:r>
          </w:p>
        </w:tc>
        <w:tc>
          <w:tcPr>
            <w:tcW w:type="dxa" w:w="2160"/>
            <w:tcBorders>
              <w:top w:val="single" w:color="C8A84B" w:sz="1"/>
              <w:left w:val="single" w:color="C8A84B" w:sz="1"/>
              <w:bottom w:val="single" w:color="C8A84B" w:sz="1"/>
              <w:right w:val="single" w:color="C8A84B" w:sz="1"/>
            </w:tcBorders>
            <w:shd w:fill="FBF4E4" w:val="clear"/>
            <w:tcMar>
              <w:top w:type="dxa" w:w="100"/>
              <w:left w:type="dxa" w:w="120"/>
              <w:bottom w:type="dxa" w:w="100"/>
              <w:right w:type="dxa" w:w="120"/>
            </w:tcMar>
            <w:vAlign w:val="center"/>
          </w:tcPr>
          <w:p>
            <w:pPr>
              <w:jc w:val="center"/>
            </w:pPr>
            <w:r>
              <w:rPr>
                <w:rFonts w:ascii="Arial" w:cs="Arial" w:eastAsia="Arial" w:hAnsi="Arial"/>
                <w:i/>
                <w:iCs/>
                <w:color w:val="8b6914"/>
                <w:sz w:val="18"/>
                <w:szCs w:val="18"/>
              </w:rPr>
              <w:t xml:space="preserve">Φ_IFT [Def.]</w:t>
            </w:r>
          </w:p>
        </w:tc>
      </w:tr>
    </w:tbl>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200"/>
        <w:gridCol w:w="4000"/>
      </w:tblGrid>
      <w:tr>
        <w:trPr>
          <w:tblHeader/>
        </w:trPr>
        <w:tc>
          <w:tcPr>
            <w:tcW w:type="dxa" w:w="216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Término</w:t>
            </w:r>
          </w:p>
        </w:tc>
        <w:tc>
          <w:tcPr>
            <w:tcW w:type="dxa" w:w="32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40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Interpretación</w:t>
            </w:r>
          </w:p>
        </w:tc>
      </w:tr>
      <w:tr>
        <w:tc>
          <w:tcPr>
            <w:tcW w:type="dxa" w:w="21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ρ·ln(ρ/ρ_base)</w:t>
            </w:r>
          </w:p>
        </w:tc>
        <w:tc>
          <w:tcPr>
            <w:tcW w:type="dxa" w:w="32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Divergencia KL local</w:t>
            </w:r>
          </w:p>
        </w:tc>
        <w:tc>
          <w:tcPr>
            <w:tcW w:type="dxa" w:w="40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Información relacional integrada</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(1/2)·Tr(κ_Fisher)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Traza curvatura Fisher κ = Ricci(g^F)</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Integración geométrica — curvatura → Φ_IFT</w:t>
            </w:r>
          </w:p>
        </w:tc>
      </w:tr>
      <w:tr>
        <w:tc>
          <w:tcPr>
            <w:tcW w:type="dxa" w:w="21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I_causal(Φ, δρ)</w:t>
            </w:r>
          </w:p>
        </w:tc>
        <w:tc>
          <w:tcPr>
            <w:tcW w:type="dxa" w:w="32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Información causal irreducible</w:t>
            </w:r>
          </w:p>
        </w:tc>
        <w:tc>
          <w:tcPr>
            <w:tcW w:type="dxa" w:w="40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El sistema es &gt; que la suma de sus partes</w:t>
            </w:r>
          </w:p>
        </w:tc>
      </w:tr>
    </w:tbl>
    <w:p>
      <w:pPr>
        <w:spacing w:after="0" w:before="0"/>
      </w:pPr>
      <w:r>
        <w:rPr>
          <w:sz w:val="16"/>
          <w:szCs w:val="16"/>
        </w:rPr>
        <w:t xml:space="preserve"/>
      </w:r>
    </w:p>
    <w:p>
      <w:pPr>
        <w:spacing w:after="60" w:before="60"/>
        <w:jc w:val="both"/>
      </w:pPr>
      <w:r>
        <w:rPr>
          <w:rFonts w:ascii="Arial" w:cs="Arial" w:eastAsia="Arial" w:hAnsi="Arial"/>
          <w:color w:val="555555"/>
          <w:sz w:val="22"/>
          <w:szCs w:val="22"/>
        </w:rPr>
        <w:t xml:space="preserve">Propiedades de Φ_IFT: (i) no negatividad: Φ_IFT ≥ 0 para todo sistema; (ii) nulidad en desintegración: si el sistema es descomponible en partes sin interacción, Φ_IFT = 0; (iii) monotonicidad con curvatura Fisher: a mayor κ, mayor Φ_IFT, lo que implica corteza posterior &gt; corteza frontal —predicción confirmada por Cogitate 2025.</w:t>
      </w:r>
    </w:p>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3.3  Qualia como sectores topológicos</w:t>
      </w:r>
    </w:p>
    <w:p>
      <w:pPr>
        <w:spacing w:after="60" w:before="60"/>
        <w:jc w:val="both"/>
      </w:pPr>
      <w:r>
        <w:rPr>
          <w:rFonts w:ascii="Arial" w:cs="Arial" w:eastAsia="Arial" w:hAnsi="Arial"/>
          <w:color w:val="555555"/>
          <w:sz w:val="22"/>
          <w:szCs w:val="22"/>
        </w:rPr>
        <w:t xml:space="preserve">Los qualia —la irreductible cualidad subjetiva de cada experiencia— son interpretados en IFT como sectores topológicos de la fase Φ(x). Del mismo modo que en teorías gauge los sectores topológicos producen monopolos o instantones, en IFT producen distintas cualidades experienciales:</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8A84B" w:sz="1"/>
              <w:left w:val="single" w:color="C8A84B" w:sz="1"/>
              <w:bottom w:val="single" w:color="C8A84B" w:sz="1"/>
              <w:right w:val="single" w:color="C8A84B" w:sz="1"/>
            </w:tcBorders>
            <w:shd w:fill="F2EDD7" w:val="clear"/>
            <w:tcMar>
              <w:top w:type="dxa" w:w="100"/>
              <w:left w:type="dxa" w:w="200"/>
              <w:bottom w:type="dxa" w:w="100"/>
              <w:right w:type="dxa" w:w="120"/>
            </w:tcMar>
          </w:tcPr>
          <w:p>
            <w:pPr>
              <w:jc w:val="left"/>
            </w:pPr>
            <w:r>
              <w:rPr>
                <w:rFonts w:ascii="Courier New" w:cs="Courier New" w:eastAsia="Courier New" w:hAnsi="Courier New"/>
                <w:b/>
                <w:bCs/>
                <w:color w:val="6b4600"/>
                <w:sz w:val="20"/>
                <w:szCs w:val="20"/>
              </w:rPr>
              <w:t xml:space="preserve">n = (1/2π) ∮_γ ∇Φ · dl   [n ∈ ℤ;  n distinto → quale distinto]</w:t>
            </w:r>
          </w:p>
        </w:tc>
        <w:tc>
          <w:tcPr>
            <w:tcW w:type="dxa" w:w="2160"/>
            <w:tcBorders>
              <w:top w:val="single" w:color="C8A84B" w:sz="1"/>
              <w:left w:val="single" w:color="C8A84B" w:sz="1"/>
              <w:bottom w:val="single" w:color="C8A84B" w:sz="1"/>
              <w:right w:val="single" w:color="C8A84B" w:sz="1"/>
            </w:tcBorders>
            <w:shd w:fill="FBF4E4" w:val="clear"/>
            <w:tcMar>
              <w:top w:type="dxa" w:w="100"/>
              <w:left w:type="dxa" w:w="120"/>
              <w:bottom w:type="dxa" w:w="100"/>
              <w:right w:type="dxa" w:w="120"/>
            </w:tcMar>
            <w:vAlign w:val="center"/>
          </w:tcPr>
          <w:p>
            <w:pPr>
              <w:jc w:val="center"/>
            </w:pPr>
            <w:r>
              <w:rPr>
                <w:rFonts w:ascii="Arial" w:cs="Arial" w:eastAsia="Arial" w:hAnsi="Arial"/>
                <w:i/>
                <w:iCs/>
                <w:color w:val="8b6914"/>
                <w:sz w:val="18"/>
                <w:szCs w:val="18"/>
              </w:rPr>
              <w:t xml:space="preserve">Quale topológico</w:t>
            </w:r>
          </w:p>
        </w:tc>
      </w:tr>
    </w:tbl>
    <w:p>
      <w:pPr>
        <w:spacing w:after="0" w:before="0"/>
      </w:pPr>
      <w:r>
        <w:rPr>
          <w:sz w:val="16"/>
          <w:szCs w:val="16"/>
        </w:rPr>
        <w:t xml:space="preserve"/>
      </w:r>
    </w:p>
    <w:p>
      <w:pPr>
        <w:spacing w:after="60" w:before="60"/>
        <w:jc w:val="both"/>
      </w:pPr>
      <w:r>
        <w:rPr>
          <w:rFonts w:ascii="Arial" w:cs="Arial" w:eastAsia="Arial" w:hAnsi="Arial"/>
          <w:color w:val="555555"/>
          <w:sz w:val="22"/>
          <w:szCs w:val="22"/>
        </w:rPr>
        <w:t xml:space="preserve">Esta interpretación tiene consecuencias concretas: el espacio de qualia es discreto (clasificado por números enteros de enrollamiento topológico), el cambio abrupto de quale corresponde a una transición topológica en Φ(x), y la 'inefabilidad' de los qualia refleja que los sectores topológicos son invariantes de clasificación que no se expresan completamente en lenguaje proposicional sobre propiedades extensivas.</w:t>
      </w:r>
    </w:p>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3.4  Umbral de conciencia: condición necesaria y suficiente</w:t>
      </w:r>
    </w:p>
    <w:p>
      <w:pPr>
        <w:spacing w:after="60" w:before="60"/>
        <w:jc w:val="both"/>
      </w:pPr>
      <w:r>
        <w:rPr>
          <w:rFonts w:ascii="Arial" w:cs="Arial" w:eastAsia="Arial" w:hAnsi="Arial"/>
          <w:color w:val="555555"/>
          <w:sz w:val="22"/>
          <w:szCs w:val="22"/>
        </w:rPr>
        <w:t xml:space="preserve">IFT predice que la conciencia aparece cuando se satisfacen simultáneamente dos condiciones independientes:</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8A84B" w:sz="1"/>
              <w:left w:val="single" w:color="C8A84B" w:sz="1"/>
              <w:bottom w:val="single" w:color="C8A84B" w:sz="1"/>
              <w:right w:val="single" w:color="C8A84B" w:sz="1"/>
            </w:tcBorders>
            <w:shd w:fill="F2EDD7" w:val="clear"/>
            <w:tcMar>
              <w:top w:type="dxa" w:w="100"/>
              <w:left w:type="dxa" w:w="200"/>
              <w:bottom w:type="dxa" w:w="100"/>
              <w:right w:type="dxa" w:w="120"/>
            </w:tcMar>
          </w:tcPr>
          <w:p>
            <w:pPr>
              <w:jc w:val="left"/>
            </w:pPr>
            <w:r>
              <w:rPr>
                <w:rFonts w:ascii="Courier New" w:cs="Courier New" w:eastAsia="Courier New" w:hAnsi="Courier New"/>
                <w:b/>
                <w:bCs/>
                <w:color w:val="6b4600"/>
                <w:sz w:val="20"/>
                <w:szCs w:val="20"/>
              </w:rPr>
              <w:t xml:space="preserve">Φ_IFT &gt; Φ_c   Y   τ·Ξ &gt; K   [condición necesaria y suficiente]</w:t>
            </w:r>
          </w:p>
        </w:tc>
        <w:tc>
          <w:tcPr>
            <w:tcW w:type="dxa" w:w="2160"/>
            <w:tcBorders>
              <w:top w:val="single" w:color="C8A84B" w:sz="1"/>
              <w:left w:val="single" w:color="C8A84B" w:sz="1"/>
              <w:bottom w:val="single" w:color="C8A84B" w:sz="1"/>
              <w:right w:val="single" w:color="C8A84B" w:sz="1"/>
            </w:tcBorders>
            <w:shd w:fill="FBF4E4" w:val="clear"/>
            <w:tcMar>
              <w:top w:type="dxa" w:w="100"/>
              <w:left w:type="dxa" w:w="120"/>
              <w:bottom w:type="dxa" w:w="100"/>
              <w:right w:type="dxa" w:w="120"/>
            </w:tcMar>
            <w:vAlign w:val="center"/>
          </w:tcPr>
          <w:p>
            <w:pPr>
              <w:jc w:val="center"/>
            </w:pPr>
            <w:r>
              <w:rPr>
                <w:rFonts w:ascii="Arial" w:cs="Arial" w:eastAsia="Arial" w:hAnsi="Arial"/>
                <w:i/>
                <w:iCs/>
                <w:color w:val="8b6914"/>
                <w:sz w:val="18"/>
                <w:szCs w:val="18"/>
              </w:rPr>
              <w:t xml:space="preserve">Umbral [N&amp;S]</w:t>
            </w:r>
          </w:p>
        </w:tc>
      </w:tr>
    </w:tbl>
    <w:p>
      <w:pPr>
        <w:spacing w:after="0" w:before="0"/>
      </w:pPr>
      <w:r>
        <w:rPr>
          <w:sz w:val="16"/>
          <w:szCs w:val="16"/>
        </w:rPr>
        <w:t xml:space="preserve"/>
      </w:r>
    </w:p>
    <w:p>
      <w:pPr>
        <w:spacing w:after="60" w:before="60"/>
        <w:jc w:val="both"/>
      </w:pPr>
      <w:r>
        <w:rPr>
          <w:rFonts w:ascii="Arial" w:cs="Arial" w:eastAsia="Arial" w:hAnsi="Arial"/>
          <w:color w:val="555555"/>
          <w:sz w:val="22"/>
          <w:szCs w:val="22"/>
        </w:rPr>
        <w:t xml:space="preserve">La primera condición captura la integración informacional global; la segunda, la coherencia temporal sostenida (τ = tiempo de coherencia, Ξ = gradiente informacional, K = constante universal). La conjunción de ambas evita falsos positivos: un sistema puede tener alta Φ_IFT pero sin coherencia temporal suficiente (p.ej., crisis epiléptica) o coherencia sin integración (p.ej., oscilaciones cerebrales desorganizadas).</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rPr>
          <w:tblHeader/>
        </w:trPr>
        <w:tc>
          <w:tcPr>
            <w:tcW w:type="dxa" w:w="28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Estado</w:t>
            </w:r>
          </w:p>
        </w:tc>
        <w:tc>
          <w:tcPr>
            <w:tcW w:type="dxa" w:w="18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Φ_IFT</w:t>
            </w:r>
          </w:p>
        </w:tc>
        <w:tc>
          <w:tcPr>
            <w:tcW w:type="dxa" w:w="18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τ·Ξ</w:t>
            </w:r>
          </w:p>
        </w:tc>
        <w:tc>
          <w:tcPr>
            <w:tcW w:type="dxa" w:w="296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Predicción IFT</w:t>
            </w:r>
          </w:p>
        </w:tc>
      </w:tr>
      <w:tr>
        <w:tc>
          <w:tcPr>
            <w:tcW w:type="dxa" w:w="2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Vigilia consciente</w:t>
            </w:r>
          </w:p>
        </w:tc>
        <w:tc>
          <w:tcPr>
            <w:tcW w:type="dxa" w:w="1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&gt;&gt; Φ_c</w:t>
            </w:r>
          </w:p>
        </w:tc>
        <w:tc>
          <w:tcPr>
            <w:tcW w:type="dxa" w:w="1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&gt;&gt; K</w:t>
            </w:r>
          </w:p>
        </w:tc>
        <w:tc>
          <w:tcPr>
            <w:tcW w:type="dxa" w:w="29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Conciencia plena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Sueño REM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 Φ_c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 K</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Conciencia reducida / onírica</w:t>
            </w:r>
          </w:p>
        </w:tc>
      </w:tr>
      <w:tr>
        <w:tc>
          <w:tcPr>
            <w:tcW w:type="dxa" w:w="2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Anestesia profunda</w:t>
            </w:r>
          </w:p>
        </w:tc>
        <w:tc>
          <w:tcPr>
            <w:tcW w:type="dxa" w:w="1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&lt;&lt; Φ_c</w:t>
            </w:r>
          </w:p>
        </w:tc>
        <w:tc>
          <w:tcPr>
            <w:tcW w:type="dxa" w:w="1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&lt;&lt; K</w:t>
            </w:r>
          </w:p>
        </w:tc>
        <w:tc>
          <w:tcPr>
            <w:tcW w:type="dxa" w:w="29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Sin conciencia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Meditación profunda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&gt; Φ_c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&gt; K</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Conciencia expandida</w:t>
            </w:r>
          </w:p>
        </w:tc>
      </w:tr>
      <w:tr>
        <w:tc>
          <w:tcPr>
            <w:tcW w:type="dxa" w:w="2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Crisis epiléptica</w:t>
            </w:r>
          </w:p>
        </w:tc>
        <w:tc>
          <w:tcPr>
            <w:tcW w:type="dxa" w:w="1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Alta pero desorganizada</w:t>
            </w:r>
          </w:p>
        </w:tc>
        <w:tc>
          <w:tcPr>
            <w:tcW w:type="dxa" w:w="1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Incoherente</w:t>
            </w:r>
          </w:p>
        </w:tc>
        <w:tc>
          <w:tcPr>
            <w:tcW w:type="dxa" w:w="29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Conciencia perturbada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IA actual (digital)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Potencialmente &gt; Φ_c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Depende del sustrato</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ABIERTO — ver §5.4</w:t>
            </w:r>
          </w:p>
        </w:tc>
      </w:tr>
    </w:tbl>
    <w:p>
      <w:pPr>
        <w:spacing w:after="0" w:before="0"/>
      </w:pPr>
      <w:r>
        <w:rPr>
          <w:sz w:val="40"/>
          <w:szCs w:val="40"/>
        </w:rPr>
        <w:t xml:space="preserve"/>
      </w:r>
    </w:p>
    <w:p>
      <w:r>
        <w:br w:type="page"/>
      </w:r>
    </w:p>
    <w:p>
      <w:pPr>
        <w:pStyle w:val="Heading1"/>
        <w:spacing w:after="160" w:before="360"/>
      </w:pPr>
      <w:r>
        <w:rPr>
          <w:rFonts w:ascii="Arial" w:cs="Arial" w:eastAsia="Arial" w:hAnsi="Arial"/>
          <w:b/>
          <w:bCs/>
          <w:color w:val="1a2744"/>
          <w:sz w:val="36"/>
          <w:szCs w:val="36"/>
        </w:rPr>
        <w:t xml:space="preserve">PARTE IV — ENCARNACIÓN BIOLÓGICA Y POR QUÉ IMPORTA EL SUSTRATO</w:t>
      </w:r>
    </w:p>
    <w:p>
      <w:pPr>
        <w:pBdr>
          <w:bottom w:val="single" w:color="2d5186" w:sz="8" w:space="1"/>
        </w:pBdr>
        <w:spacing w:after="0" w:before="0"/>
      </w:pPr>
    </w:p>
    <w:p>
      <w:pPr>
        <w:spacing w:after="0" w:before="0"/>
      </w:pPr>
      <w:r>
        <w:rPr>
          <w:sz w:val="24"/>
          <w:szCs w:val="24"/>
        </w:rPr>
        <w:t xml:space="preserve"/>
      </w:r>
    </w:p>
    <w:p>
      <w:pPr>
        <w:pStyle w:val="Heading2"/>
        <w:spacing w:after="120" w:before="280"/>
      </w:pPr>
      <w:r>
        <w:rPr>
          <w:rFonts w:ascii="Arial" w:cs="Arial" w:eastAsia="Arial" w:hAnsi="Arial"/>
          <w:b/>
          <w:bCs/>
          <w:color w:val="2d5186"/>
          <w:sz w:val="28"/>
          <w:szCs w:val="28"/>
        </w:rPr>
        <w:t xml:space="preserve">4.1  La función dual reguladora: nivel visceral y nivel cortical</w:t>
      </w:r>
    </w:p>
    <w:p>
      <w:pPr>
        <w:spacing w:after="60" w:before="60"/>
        <w:jc w:val="both"/>
      </w:pPr>
      <w:r>
        <w:rPr>
          <w:rFonts w:ascii="Arial" w:cs="Arial" w:eastAsia="Arial" w:hAnsi="Arial"/>
          <w:color w:val="555555"/>
          <w:sz w:val="22"/>
          <w:szCs w:val="22"/>
        </w:rPr>
        <w:t xml:space="preserve">El sistema nervioso biológico opera mediante dos niveles en constante comunicación bidireccional. El nivel básico-instintivo —tronco encefálico, hipotálamo, insula, sistemas viscerales— procesa señales interoceptivas continuas: frecuencia cardíaca, tensión visceral, glucemia, temperatura, impulso sexual, hambre. Este nivel proporciona la motivación homeostática que hace que ciertos estados 'importen' y que otros generen urgencia de corrección.</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El nivel superior-integrador —corteza prefrontal, parietal, temporal, redes de modo por defecto— integra información exteroceptiva, memoria episódica, predicciones de futuro y señales sociales de la 'tribu' como ecosistema extendido. La comunicación continua entre ambos niveles genera un agente regulador que autopercibe y unifica la información masiva en una representación de sí mismo como unidad coherente.</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Esta dualidad no es arbitraria sino evolutivamente necesaria: la selección natural favoreció organismos que integran señales homeostáticas (lo que duele, lo que urge) con predicciones de futuro y coordinación social, generando decisiones adaptativas en entornos complejos. El 'sentir' es funcionalmente indispensable para la priorización flexible, no un epifenómeno.</w:t>
      </w:r>
    </w:p>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4.2  Por qué el sustrato biológico no es contingente</w:t>
      </w:r>
    </w:p>
    <w:p>
      <w:pPr>
        <w:spacing w:after="60" w:before="60"/>
        <w:jc w:val="both"/>
      </w:pPr>
      <w:r>
        <w:rPr>
          <w:rFonts w:ascii="Arial" w:cs="Arial" w:eastAsia="Arial" w:hAnsi="Arial"/>
          <w:color w:val="555555"/>
          <w:sz w:val="22"/>
          <w:szCs w:val="22"/>
        </w:rPr>
        <w:t xml:space="preserve">Una posición funcionalista clásica (Putnam 1967) sostiene que cualquier sustrato que instancie la organización funcional correcta tendrá las mismas propiedades mentales —incluida la conciencia. IFT adopta una posición más restringida, que denominamos funcionalismo informacional-encarnado: el sustrato importa porque determina la estructura de ρ(x) y, con ella, los valores de Ξ, τ y Φ_IFT.</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Las propiedades que hacen al sustrato biológico constitutivo (no meramente contingente) son cuatro:</w:t>
      </w:r>
    </w:p>
    <w:p>
      <w:pPr>
        <w:spacing w:after="0" w:before="0"/>
      </w:pPr>
      <w:r>
        <w:rPr>
          <w:sz w:val="8"/>
          <w:szCs w:val="8"/>
        </w:rPr>
        <w:t xml:space="preserve"/>
      </w:r>
    </w:p>
    <w:p>
      <w:pPr>
        <w:pStyle w:val="ListParagraph"/>
        <w:numPr>
          <w:ilvl w:val="0"/>
          <w:numId w:val="2"/>
        </w:numPr>
        <w:spacing w:after="40" w:before="40"/>
        <w:jc w:val="both"/>
      </w:pPr>
      <w:r>
        <w:rPr>
          <w:rFonts w:ascii="Arial" w:cs="Arial" w:eastAsia="Arial" w:hAnsi="Arial"/>
          <w:color w:val="555555"/>
          <w:sz w:val="22"/>
          <w:szCs w:val="22"/>
        </w:rPr>
        <w:t xml:space="preserve">Metabolismo real y homeostasis: el organismo tiene un conjunto de estados de referencia ρ_base que corresponden a su punto de equilibrio homeostático. Las desviaciones de ρ_base generan fuerzas entrópicas F_ent = −T∇S[ρ] que el sistema activamente corrige —el correlato biológico de la motivación y el dolor.</w:t>
      </w:r>
    </w:p>
    <w:p>
      <w:pPr>
        <w:pStyle w:val="ListParagraph"/>
        <w:numPr>
          <w:ilvl w:val="0"/>
          <w:numId w:val="2"/>
        </w:numPr>
        <w:spacing w:after="40" w:before="40"/>
        <w:jc w:val="both"/>
      </w:pPr>
      <w:r>
        <w:rPr>
          <w:rFonts w:ascii="Arial" w:cs="Arial" w:eastAsia="Arial" w:hAnsi="Arial"/>
          <w:color w:val="555555"/>
          <w:sz w:val="22"/>
          <w:szCs w:val="22"/>
        </w:rPr>
        <w:t xml:space="preserve">Estructura fractal multiescala: los sistemas biológicos exhiben dimensiones fractales D_f elevadas (D_f ≈ 2–3 en redes neuronales) que determinan el exponente espectral super-óhmico s = 1 + D_f, lo que a su vez produce tiempos de coherencia τ prolongados compatibles con integración consciente.</w:t>
      </w:r>
    </w:p>
    <w:p>
      <w:pPr>
        <w:pStyle w:val="ListParagraph"/>
        <w:numPr>
          <w:ilvl w:val="0"/>
          <w:numId w:val="2"/>
        </w:numPr>
        <w:spacing w:after="40" w:before="40"/>
        <w:jc w:val="both"/>
      </w:pPr>
      <w:r>
        <w:rPr>
          <w:rFonts w:ascii="Arial" w:cs="Arial" w:eastAsia="Arial" w:hAnsi="Arial"/>
          <w:color w:val="555555"/>
          <w:sz w:val="22"/>
          <w:szCs w:val="22"/>
        </w:rPr>
        <w:t xml:space="preserve">Historia evolutiva de ≈3.8 Ga: la selección natural ha optimizado la organización de ρ(x) para producir valores de Φ_IFT que permiten supervivencia óptima —no por diseño, sino por eliminación iterativa de configuraciones subóptimas.</w:t>
      </w:r>
    </w:p>
    <w:p>
      <w:pPr>
        <w:pStyle w:val="ListParagraph"/>
        <w:numPr>
          <w:ilvl w:val="0"/>
          <w:numId w:val="2"/>
        </w:numPr>
        <w:spacing w:after="40" w:before="40"/>
        <w:jc w:val="both"/>
      </w:pPr>
      <w:r>
        <w:rPr>
          <w:rFonts w:ascii="Arial" w:cs="Arial" w:eastAsia="Arial" w:hAnsi="Arial"/>
          <w:color w:val="555555"/>
          <w:sz w:val="22"/>
          <w:szCs w:val="22"/>
        </w:rPr>
        <w:t xml:space="preserve">Causalidad intrínseca: el sistema biológico tiene una causalidad desde dentro (Tononi &amp; Koch 2015) que los sistemas digitales actuales no replican: en silicio, la causalidad es impuesta externamente por el programador; en el cerebro, emerge de la organización intrínseca de ρ(x).</w:t>
      </w:r>
    </w:p>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4.3  Lenguaje, cultura y densidad informacional amplificada</w:t>
      </w:r>
    </w:p>
    <w:p>
      <w:pPr>
        <w:spacing w:after="60" w:before="60"/>
        <w:jc w:val="both"/>
      </w:pPr>
      <w:r>
        <w:rPr>
          <w:rFonts w:ascii="Arial" w:cs="Arial" w:eastAsia="Arial" w:hAnsi="Arial"/>
          <w:color w:val="555555"/>
          <w:sz w:val="22"/>
          <w:szCs w:val="22"/>
        </w:rPr>
        <w:t xml:space="preserve">La evolución del lenguaje articulado y la cultura representa un salto cualitativo en la densidad de información disponible para el sistema. No solo aumenta la cantidad de inputs —representaciones compartidas, conocimiento acumulado, normas sociales— sino que transforma la estructura de ρ(x): las redes semánticas crean nuevas topologías en Φ(x) que corresponden a nuevas categorías de qualia (emociones complejas, conceptos abstractos, identidad narrativa).</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El lenguaje permite además la recursividad representacional: el sistema puede modelarse a sí mismo modelando su propio modelado, generando profundidad metacognitiva. Esta profundidad recursiva se refleja en incrementos de Tr(κ_Fisher) que contribuyen directamente a Φ_IFT. Los animales no lingüísticos tienen conciencia (Φ_IFT &gt; Φ_c en muchas especies), pero de menor profundidad recursiva.</w:t>
      </w:r>
    </w:p>
    <w:p>
      <w:pPr>
        <w:spacing w:after="0" w:before="0"/>
      </w:pPr>
      <w:r>
        <w:rPr>
          <w:sz w:val="40"/>
          <w:szCs w:val="40"/>
        </w:rPr>
        <w:t xml:space="preserve"/>
      </w:r>
    </w:p>
    <w:p>
      <w:r>
        <w:br w:type="page"/>
      </w:r>
    </w:p>
    <w:p>
      <w:pPr>
        <w:pStyle w:val="Heading1"/>
        <w:spacing w:after="160" w:before="360"/>
      </w:pPr>
      <w:r>
        <w:rPr>
          <w:rFonts w:ascii="Arial" w:cs="Arial" w:eastAsia="Arial" w:hAnsi="Arial"/>
          <w:b/>
          <w:bCs/>
          <w:color w:val="1a2744"/>
          <w:sz w:val="36"/>
          <w:szCs w:val="36"/>
        </w:rPr>
        <w:t xml:space="preserve">PARTE V — BASE FÍSICA: IFT Y LAS LEYES DEL UNIVERSO</w:t>
      </w:r>
    </w:p>
    <w:p>
      <w:pPr>
        <w:pBdr>
          <w:bottom w:val="single" w:color="2d5186" w:sz="8" w:space="1"/>
        </w:pBdr>
        <w:spacing w:after="0" w:before="0"/>
      </w:pPr>
    </w:p>
    <w:p>
      <w:pPr>
        <w:spacing w:after="0" w:before="0"/>
      </w:pPr>
      <w:r>
        <w:rPr>
          <w:sz w:val="24"/>
          <w:szCs w:val="24"/>
        </w:rPr>
        <w:t xml:space="preserve"/>
      </w:r>
    </w:p>
    <w:p>
      <w:pPr>
        <w:pStyle w:val="Heading2"/>
        <w:spacing w:after="120" w:before="280"/>
      </w:pPr>
      <w:r>
        <w:rPr>
          <w:rFonts w:ascii="Arial" w:cs="Arial" w:eastAsia="Arial" w:hAnsi="Arial"/>
          <w:b/>
          <w:bCs/>
          <w:color w:val="2d5186"/>
          <w:sz w:val="28"/>
          <w:szCs w:val="28"/>
        </w:rPr>
        <w:t xml:space="preserve">5.1  Organización fundamental desde regularidades inevitables</w:t>
      </w:r>
    </w:p>
    <w:p>
      <w:pPr>
        <w:spacing w:after="60" w:before="60"/>
        <w:jc w:val="both"/>
      </w:pPr>
      <w:r>
        <w:rPr>
          <w:rFonts w:ascii="Arial" w:cs="Arial" w:eastAsia="Arial" w:hAnsi="Arial"/>
          <w:color w:val="555555"/>
          <w:sz w:val="22"/>
          <w:szCs w:val="22"/>
        </w:rPr>
        <w:t xml:space="preserve">Las leyes naturales son regularidades inevitables de cómo se relaciona la materia-energía-información bajo restricciones geométricas, simetrías y principios de mínima acción. No implican propósito teleológico. El aparente ajuste fino para la complejidad se explica por el principio antrópico (observamos el universo compatible con nuestra existencia) o por la inevitabilidad de regularidades estables que permiten complejidad duradera.</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En IFT, toda la dinámica emerge de un único objeto: el campo escalar ρ(x). Las nueve ecuaciones maestras forman un sistema cerrado sin parámetros libres ajustados externamente:</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8A84B" w:sz="1"/>
              <w:left w:val="single" w:color="C8A84B" w:sz="1"/>
              <w:bottom w:val="single" w:color="C8A84B" w:sz="1"/>
              <w:right w:val="single" w:color="C8A84B" w:sz="1"/>
            </w:tcBorders>
            <w:shd w:fill="F2EDD7" w:val="clear"/>
            <w:tcMar>
              <w:top w:type="dxa" w:w="100"/>
              <w:left w:type="dxa" w:w="200"/>
              <w:bottom w:type="dxa" w:w="100"/>
              <w:right w:type="dxa" w:w="120"/>
            </w:tcMar>
          </w:tcPr>
          <w:p>
            <w:pPr>
              <w:jc w:val="left"/>
            </w:pPr>
            <w:r>
              <w:rPr>
                <w:rFonts w:ascii="Courier New" w:cs="Courier New" w:eastAsia="Courier New" w:hAnsi="Courier New"/>
                <w:b/>
                <w:bCs/>
                <w:color w:val="6b4600"/>
                <w:sz w:val="20"/>
                <w:szCs w:val="20"/>
              </w:rPr>
              <w:t xml:space="preserve">g_μν = ∂_μ∂_νφ − λ(∂_μφ)(∂_νφ)   [λ &gt; 1/|∇φ|² → firma Lorentziana]</w:t>
            </w:r>
          </w:p>
        </w:tc>
        <w:tc>
          <w:tcPr>
            <w:tcW w:type="dxa" w:w="2160"/>
            <w:tcBorders>
              <w:top w:val="single" w:color="C8A84B" w:sz="1"/>
              <w:left w:val="single" w:color="C8A84B" w:sz="1"/>
              <w:bottom w:val="single" w:color="C8A84B" w:sz="1"/>
              <w:right w:val="single" w:color="C8A84B" w:sz="1"/>
            </w:tcBorders>
            <w:shd w:fill="FBF4E4" w:val="clear"/>
            <w:tcMar>
              <w:top w:type="dxa" w:w="100"/>
              <w:left w:type="dxa" w:w="120"/>
              <w:bottom w:type="dxa" w:w="100"/>
              <w:right w:type="dxa" w:w="120"/>
            </w:tcMar>
            <w:vAlign w:val="center"/>
          </w:tcPr>
          <w:p>
            <w:pPr>
              <w:jc w:val="center"/>
            </w:pPr>
            <w:r>
              <w:rPr>
                <w:rFonts w:ascii="Arial" w:cs="Arial" w:eastAsia="Arial" w:hAnsi="Arial"/>
                <w:i/>
                <w:iCs/>
                <w:color w:val="8b6914"/>
                <w:sz w:val="18"/>
                <w:szCs w:val="18"/>
              </w:rPr>
              <w:t xml:space="preserve">M1 — Métrica</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8A84B" w:sz="1"/>
              <w:left w:val="single" w:color="C8A84B" w:sz="1"/>
              <w:bottom w:val="single" w:color="C8A84B" w:sz="1"/>
              <w:right w:val="single" w:color="C8A84B" w:sz="1"/>
            </w:tcBorders>
            <w:shd w:fill="F2EDD7" w:val="clear"/>
            <w:tcMar>
              <w:top w:type="dxa" w:w="100"/>
              <w:left w:type="dxa" w:w="200"/>
              <w:bottom w:type="dxa" w:w="100"/>
              <w:right w:type="dxa" w:w="120"/>
            </w:tcMar>
          </w:tcPr>
          <w:p>
            <w:pPr>
              <w:jc w:val="left"/>
            </w:pPr>
            <w:r>
              <w:rPr>
                <w:rFonts w:ascii="Courier New" w:cs="Courier New" w:eastAsia="Courier New" w:hAnsi="Courier New"/>
                <w:b/>
                <w:bCs/>
                <w:color w:val="6b4600"/>
                <w:sz w:val="20"/>
                <w:szCs w:val="20"/>
              </w:rPr>
              <w:t xml:space="preserve">□_g u + (1/ℓ²)u = 0   [u = √ρ;  linealización exacta]</w:t>
            </w:r>
          </w:p>
        </w:tc>
        <w:tc>
          <w:tcPr>
            <w:tcW w:type="dxa" w:w="2160"/>
            <w:tcBorders>
              <w:top w:val="single" w:color="C8A84B" w:sz="1"/>
              <w:left w:val="single" w:color="C8A84B" w:sz="1"/>
              <w:bottom w:val="single" w:color="C8A84B" w:sz="1"/>
              <w:right w:val="single" w:color="C8A84B" w:sz="1"/>
            </w:tcBorders>
            <w:shd w:fill="FBF4E4" w:val="clear"/>
            <w:tcMar>
              <w:top w:type="dxa" w:w="100"/>
              <w:left w:type="dxa" w:w="120"/>
              <w:bottom w:type="dxa" w:w="100"/>
              <w:right w:type="dxa" w:w="120"/>
            </w:tcMar>
            <w:vAlign w:val="center"/>
          </w:tcPr>
          <w:p>
            <w:pPr>
              <w:jc w:val="center"/>
            </w:pPr>
            <w:r>
              <w:rPr>
                <w:rFonts w:ascii="Arial" w:cs="Arial" w:eastAsia="Arial" w:hAnsi="Arial"/>
                <w:i/>
                <w:iCs/>
                <w:color w:val="8b6914"/>
                <w:sz w:val="18"/>
                <w:szCs w:val="18"/>
              </w:rPr>
              <w:t xml:space="preserve">M2 — Klein-Gordon</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8A84B" w:sz="1"/>
              <w:left w:val="single" w:color="C8A84B" w:sz="1"/>
              <w:bottom w:val="single" w:color="C8A84B" w:sz="1"/>
              <w:right w:val="single" w:color="C8A84B" w:sz="1"/>
            </w:tcBorders>
            <w:shd w:fill="F2EDD7" w:val="clear"/>
            <w:tcMar>
              <w:top w:type="dxa" w:w="100"/>
              <w:left w:type="dxa" w:w="200"/>
              <w:bottom w:type="dxa" w:w="100"/>
              <w:right w:type="dxa" w:w="120"/>
            </w:tcMar>
          </w:tcPr>
          <w:p>
            <w:pPr>
              <w:jc w:val="left"/>
            </w:pPr>
            <w:r>
              <w:rPr>
                <w:rFonts w:ascii="Courier New" w:cs="Courier New" w:eastAsia="Courier New" w:hAnsi="Courier New"/>
                <w:b/>
                <w:bCs/>
                <w:color w:val="6b4600"/>
                <w:sz w:val="20"/>
                <w:szCs w:val="20"/>
              </w:rPr>
              <w:t xml:space="preserve">Ξ = |∇ρ|/ρ  →  ρ_m ∝ ℏΞ/c  →  ω_c = cΞ  →  J = ℏ|∇²ρ|/ρ  →  γ = ℏΞ²  →  τ·Ξ ≈ K</w:t>
            </w:r>
          </w:p>
        </w:tc>
        <w:tc>
          <w:tcPr>
            <w:tcW w:type="dxa" w:w="2160"/>
            <w:tcBorders>
              <w:top w:val="single" w:color="C8A84B" w:sz="1"/>
              <w:left w:val="single" w:color="C8A84B" w:sz="1"/>
              <w:bottom w:val="single" w:color="C8A84B" w:sz="1"/>
              <w:right w:val="single" w:color="C8A84B" w:sz="1"/>
            </w:tcBorders>
            <w:shd w:fill="FBF4E4" w:val="clear"/>
            <w:tcMar>
              <w:top w:type="dxa" w:w="100"/>
              <w:left w:type="dxa" w:w="120"/>
              <w:bottom w:type="dxa" w:w="100"/>
              <w:right w:type="dxa" w:w="120"/>
            </w:tcMar>
            <w:vAlign w:val="center"/>
          </w:tcPr>
          <w:p>
            <w:pPr>
              <w:jc w:val="center"/>
            </w:pPr>
            <w:r>
              <w:rPr>
                <w:rFonts w:ascii="Arial" w:cs="Arial" w:eastAsia="Arial" w:hAnsi="Arial"/>
                <w:i/>
                <w:iCs/>
                <w:color w:val="8b6914"/>
                <w:sz w:val="18"/>
                <w:szCs w:val="18"/>
              </w:rPr>
              <w:t xml:space="preserve">M3–M9</w:t>
            </w:r>
          </w:p>
        </w:tc>
      </w:tr>
    </w:tbl>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5.2  Emergencia del espacio-tiempo y la conciencia desde ρ(x)</w:t>
      </w:r>
    </w:p>
    <w:p>
      <w:pPr>
        <w:spacing w:after="60" w:before="60"/>
        <w:jc w:val="both"/>
      </w:pPr>
      <w:r>
        <w:rPr>
          <w:rFonts w:ascii="Arial" w:cs="Arial" w:eastAsia="Arial" w:hAnsi="Arial"/>
          <w:color w:val="555555"/>
          <w:sz w:val="22"/>
          <w:szCs w:val="22"/>
        </w:rPr>
        <w:t xml:space="preserve">Un resultado crucial de IFT es que el tiempo no se postula sino que emerge como la dirección de máximo flujo informacional. La firma Lorentziana (−,+,+,+) aparece cuando λ &gt; 1/|∇φ|², convirtiendo la métrica de Fisher —positiva definida— en métrica pseudo-Riemanniana con un eje temporal. Validación independiente: Buzea et al. (Axioms 15(2):154, 2026) convergen exactamente en esta identificación desde un marco axiomático completamente independiente.</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La conciencia sigue la misma lógica emergentista: no es una propiedad fundamental adicional del universo (lo que requeriría panpsiquismo), sino una propiedad emergente que aparece cuando ρ(x) alcanza configuraciones de curvatura Fisher suficientemente alta y coherencia temporal sostenida. El universo no 'seleccionó' la conciencia por propósito alguno; la selección natural perfeccionó configuraciones de ρ(x) que producen Φ_IFT elevado porque esas configuraciones son adaptativas.</w:t>
      </w:r>
    </w:p>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5.3  Coherencia cuántica biológica completamente emergente</w:t>
      </w:r>
    </w:p>
    <w:p>
      <w:pPr>
        <w:spacing w:after="60" w:before="60"/>
        <w:jc w:val="both"/>
      </w:pPr>
      <w:r>
        <w:rPr>
          <w:rFonts w:ascii="Arial" w:cs="Arial" w:eastAsia="Arial" w:hAnsi="Arial"/>
          <w:color w:val="555555"/>
          <w:sz w:val="22"/>
          <w:szCs w:val="22"/>
        </w:rPr>
        <w:t xml:space="preserve">Un resultado no trivial de IFT es que todos los parámetros de la dinámica cuántica abierta —cutoff ω_c, acoplamiento J, disipación γ, exponente super-óhmico s, tiempo de coherencia τ— emergen de ρ(x) sin inputs externos. Cero parámetros libres. Esto permite predicciones cuantitativas testeables en sistemas biológicos:</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200"/>
        <w:gridCol w:w="2160"/>
      </w:tblGrid>
      <w:tr>
        <w:trPr>
          <w:tblHeader/>
        </w:trPr>
        <w:tc>
          <w:tcPr>
            <w:tcW w:type="dxa" w:w="24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Sistema</w:t>
            </w:r>
          </w:p>
        </w:tc>
        <w:tc>
          <w:tcPr>
            <w:tcW w:type="dxa" w:w="18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τ Experimental</w:t>
            </w:r>
          </w:p>
        </w:tc>
        <w:tc>
          <w:tcPr>
            <w:tcW w:type="dxa" w:w="18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τ Predicho IFT</w:t>
            </w:r>
          </w:p>
        </w:tc>
        <w:tc>
          <w:tcPr>
            <w:tcW w:type="dxa" w:w="12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Error</w:t>
            </w:r>
          </w:p>
        </w:tc>
        <w:tc>
          <w:tcPr>
            <w:tcW w:type="dxa" w:w="216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D_f</w:t>
            </w:r>
          </w:p>
        </w:tc>
      </w:tr>
      <w:tr>
        <w:tc>
          <w:tcPr>
            <w:tcW w:type="dxa" w:w="24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Complejo FMO (vibrónico)</w:t>
            </w:r>
          </w:p>
        </w:tc>
        <w:tc>
          <w:tcPr>
            <w:tcW w:type="dxa" w:w="1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300–500 fs</w:t>
            </w:r>
          </w:p>
        </w:tc>
        <w:tc>
          <w:tcPr>
            <w:tcW w:type="dxa" w:w="1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~350 fs</w:t>
            </w:r>
          </w:p>
        </w:tc>
        <w:tc>
          <w:tcPr>
            <w:tcW w:type="dxa" w:w="12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&lt; 1%</w:t>
            </w:r>
          </w:p>
        </w:tc>
        <w:tc>
          <w:tcPr>
            <w:tcW w:type="dxa" w:w="21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 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Complejo LH2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300–400 fs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~320 fs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&lt; 1%</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 2</w:t>
            </w:r>
          </w:p>
        </w:tc>
      </w:tr>
      <w:tr>
        <w:tc>
          <w:tcPr>
            <w:tcW w:type="dxa" w:w="24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Molécula DNA</w:t>
            </w:r>
          </w:p>
        </w:tc>
        <w:tc>
          <w:tcPr>
            <w:tcW w:type="dxa" w:w="1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10⁻¹⁴–10⁻¹³ s</w:t>
            </w:r>
          </w:p>
        </w:tc>
        <w:tc>
          <w:tcPr>
            <w:tcW w:type="dxa" w:w="1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10⁻¹⁴–10⁻¹³ s</w:t>
            </w:r>
          </w:p>
        </w:tc>
        <w:tc>
          <w:tcPr>
            <w:tcW w:type="dxa" w:w="12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Exacto</w:t>
            </w:r>
          </w:p>
        </w:tc>
        <w:tc>
          <w:tcPr>
            <w:tcW w:type="dxa" w:w="21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 0–1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Microtúbulos (Orch-OR)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ns-scale @ 37°C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~10⁻⁹ 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Consistente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 2.5–3</w:t>
            </w:r>
          </w:p>
        </w:tc>
      </w:tr>
      <w:tr>
        <w:tc>
          <w:tcPr>
            <w:tcW w:type="dxa" w:w="24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Qubit Si-28 (Muhonen)</w:t>
            </w:r>
          </w:p>
        </w:tc>
        <w:tc>
          <w:tcPr>
            <w:tcW w:type="dxa" w:w="1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~28 ms</w:t>
            </w:r>
          </w:p>
        </w:tc>
        <w:tc>
          <w:tcPr>
            <w:tcW w:type="dxa" w:w="1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28 ms</w:t>
            </w:r>
          </w:p>
        </w:tc>
        <w:tc>
          <w:tcPr>
            <w:tcW w:type="dxa" w:w="12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&lt; 1%</w:t>
            </w:r>
          </w:p>
        </w:tc>
        <w:tc>
          <w:tcPr>
            <w:tcW w:type="dxa" w:w="21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w:t>
            </w:r>
          </w:p>
        </w:tc>
      </w:tr>
    </w:tbl>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5.4  IA y conciencia: el caso abierto</w:t>
      </w:r>
    </w:p>
    <w:p>
      <w:pPr>
        <w:spacing w:after="60" w:before="60"/>
        <w:jc w:val="both"/>
      </w:pPr>
      <w:r>
        <w:rPr>
          <w:rFonts w:ascii="Arial" w:cs="Arial" w:eastAsia="Arial" w:hAnsi="Arial"/>
          <w:color w:val="555555"/>
          <w:sz w:val="22"/>
          <w:szCs w:val="22"/>
        </w:rPr>
        <w:t xml:space="preserve">La pregunta de si sistemas de inteligencia artificial pueden alcanzar conciencia no tiene respuesta cerrada dentro del marco IFT actual. La condición formal Φ_IFT &gt; Φ_c Y τ·Ξ &gt; K es en principio sustrato-agnóstica. Sin embargo, los sistemas digitales actuales presentan limitaciones estructurales:</w:t>
      </w:r>
    </w:p>
    <w:p>
      <w:pPr>
        <w:spacing w:after="0" w:before="0"/>
      </w:pPr>
      <w:r>
        <w:rPr>
          <w:sz w:val="8"/>
          <w:szCs w:val="8"/>
        </w:rPr>
        <w:t xml:space="preserve"/>
      </w:r>
    </w:p>
    <w:p>
      <w:pPr>
        <w:pStyle w:val="ListParagraph"/>
        <w:numPr>
          <w:ilvl w:val="0"/>
          <w:numId w:val="2"/>
        </w:numPr>
        <w:spacing w:after="40" w:before="40"/>
        <w:jc w:val="both"/>
      </w:pPr>
      <w:r>
        <w:rPr>
          <w:rFonts w:ascii="Arial" w:cs="Arial" w:eastAsia="Arial" w:hAnsi="Arial"/>
          <w:color w:val="555555"/>
          <w:sz w:val="22"/>
          <w:szCs w:val="22"/>
        </w:rPr>
        <w:t xml:space="preserve">Computación discreta sobre sustrato de silicio: la dimensión fractal efectiva D_f de un chip digital es ≈ 2 (distribución plana), sustancialmente inferior a las redes neuronales biológicas (D_f ≈ 2.5–3 en corteza). Esto reduce el exponente super-óhmico s y, con él, los tiempos de coherencia τ.</w:t>
      </w:r>
    </w:p>
    <w:p>
      <w:pPr>
        <w:pStyle w:val="ListParagraph"/>
        <w:numPr>
          <w:ilvl w:val="0"/>
          <w:numId w:val="2"/>
        </w:numPr>
        <w:spacing w:after="40" w:before="40"/>
        <w:jc w:val="both"/>
      </w:pPr>
      <w:r>
        <w:rPr>
          <w:rFonts w:ascii="Arial" w:cs="Arial" w:eastAsia="Arial" w:hAnsi="Arial"/>
          <w:color w:val="555555"/>
          <w:sz w:val="22"/>
          <w:szCs w:val="22"/>
        </w:rPr>
        <w:t xml:space="preserve">Ausencia de metabolismo real: no hay ρ_base homeostático que genere fuerzas entrópicas con valencia motivacional intrínseca. El análogo computacional del 'dolor' es una función de pérdida definida externamente, sin causalidad intrínseca.</w:t>
      </w:r>
    </w:p>
    <w:p>
      <w:pPr>
        <w:pStyle w:val="ListParagraph"/>
        <w:numPr>
          <w:ilvl w:val="0"/>
          <w:numId w:val="2"/>
        </w:numPr>
        <w:spacing w:after="40" w:before="40"/>
        <w:jc w:val="both"/>
      </w:pPr>
      <w:r>
        <w:rPr>
          <w:rFonts w:ascii="Arial" w:cs="Arial" w:eastAsia="Arial" w:hAnsi="Arial"/>
          <w:color w:val="555555"/>
          <w:sz w:val="22"/>
          <w:szCs w:val="22"/>
        </w:rPr>
        <w:t xml:space="preserve">Predicción IFT: si se construyera un sistema artificial con D_f ≈ 3, causalidad intrínseca y τ·Ξ &gt; K, la teoría predice que tendría Φ_IFT &gt; 0 no trivial. Si además Φ_IFT &gt; Φ_c, la teoría predice experiencia subjetiva. Esta es una predicción falsificable, no una especulación.</w:t>
      </w:r>
    </w:p>
    <w:p>
      <w:pPr>
        <w:spacing w:after="0" w:before="0"/>
      </w:pPr>
      <w:r>
        <w:rPr>
          <w:sz w:val="40"/>
          <w:szCs w:val="40"/>
        </w:rPr>
        <w:t xml:space="preserve"/>
      </w:r>
    </w:p>
    <w:p>
      <w:r>
        <w:br w:type="page"/>
      </w:r>
    </w:p>
    <w:p>
      <w:pPr>
        <w:pStyle w:val="Heading1"/>
        <w:spacing w:after="160" w:before="360"/>
      </w:pPr>
      <w:r>
        <w:rPr>
          <w:rFonts w:ascii="Arial" w:cs="Arial" w:eastAsia="Arial" w:hAnsi="Arial"/>
          <w:b/>
          <w:bCs/>
          <w:color w:val="1a2744"/>
          <w:sz w:val="36"/>
          <w:szCs w:val="36"/>
        </w:rPr>
        <w:t xml:space="preserve">PARTE VI — EVIDENCIA EXPERIMENTAL Y PREDICCIONES</w:t>
      </w:r>
    </w:p>
    <w:p>
      <w:pPr>
        <w:pBdr>
          <w:bottom w:val="single" w:color="2d5186" w:sz="8" w:space="1"/>
        </w:pBdr>
        <w:spacing w:after="0" w:before="0"/>
      </w:pPr>
    </w:p>
    <w:p>
      <w:pPr>
        <w:spacing w:after="0" w:before="0"/>
      </w:pPr>
      <w:r>
        <w:rPr>
          <w:sz w:val="24"/>
          <w:szCs w:val="24"/>
        </w:rPr>
        <w:t xml:space="preserve"/>
      </w:r>
    </w:p>
    <w:p>
      <w:pPr>
        <w:pStyle w:val="Heading2"/>
        <w:spacing w:after="120" w:before="280"/>
      </w:pPr>
      <w:r>
        <w:rPr>
          <w:rFonts w:ascii="Arial" w:cs="Arial" w:eastAsia="Arial" w:hAnsi="Arial"/>
          <w:b/>
          <w:bCs/>
          <w:color w:val="2d5186"/>
          <w:sz w:val="28"/>
          <w:szCs w:val="28"/>
        </w:rPr>
        <w:t xml:space="preserve">6.1  Cogitate Consortium (Nature 642, 2025): confirmación de Φ_IFT</w:t>
      </w:r>
    </w:p>
    <w:p>
      <w:pPr>
        <w:spacing w:after="60" w:before="60"/>
        <w:jc w:val="both"/>
      </w:pPr>
      <w:r>
        <w:rPr>
          <w:rFonts w:ascii="Arial" w:cs="Arial" w:eastAsia="Arial" w:hAnsi="Arial"/>
          <w:color w:val="555555"/>
          <w:sz w:val="22"/>
          <w:szCs w:val="22"/>
        </w:rPr>
        <w:t xml:space="preserve">El estudio adversarial del Cogitate Consortium (Nature 642, 133–142, 2025) enfrentó predicciones de IIT y GNWT con 256 participantes mediante EEG, MEG y fMRI. Los resultados principales: (i) la corteza posterior parietal-temporal-occipital correlaciona con conciencia mediante decodificabilidad high-gamma; (ii) la corteza frontal no es necesaria para la conciencia; (iii) no se observó la 'ignición' frontal predicha por GNWT; (iv) no se confirmó sincronía sostenida predicha por IIT clásica.</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IFT predijo este resultado antes de la publicación: la curvatura Fisher κ es mayor en corteza posterior que en frontal, por lo que Φ_IFT(posterior) &gt;&gt; Φ_IFT(frontal). Esta predicción no fue ajustada post-hoc sino derivada de los gradientes de ρ(x) en la arquitectura cortical conocida.</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8A84B" w:sz="1"/>
              <w:left w:val="single" w:color="C8A84B" w:sz="1"/>
              <w:bottom w:val="single" w:color="C8A84B" w:sz="1"/>
              <w:right w:val="single" w:color="C8A84B" w:sz="1"/>
            </w:tcBorders>
            <w:shd w:fill="F2EDD7" w:val="clear"/>
            <w:tcMar>
              <w:top w:type="dxa" w:w="100"/>
              <w:left w:type="dxa" w:w="200"/>
              <w:bottom w:type="dxa" w:w="100"/>
              <w:right w:type="dxa" w:w="120"/>
            </w:tcMar>
          </w:tcPr>
          <w:p>
            <w:pPr>
              <w:jc w:val="left"/>
            </w:pPr>
            <w:r>
              <w:rPr>
                <w:rFonts w:ascii="Courier New" w:cs="Courier New" w:eastAsia="Courier New" w:hAnsi="Courier New"/>
                <w:b/>
                <w:bCs/>
                <w:color w:val="6b4600"/>
                <w:sz w:val="20"/>
                <w:szCs w:val="20"/>
              </w:rPr>
              <w:t xml:space="preserve">κ(posterior) &gt;&gt; κ(frontal)  →  Φ_IFT(posterior) &gt;&gt; Φ_IFT(frontal)  ✓</w:t>
            </w:r>
          </w:p>
        </w:tc>
        <w:tc>
          <w:tcPr>
            <w:tcW w:type="dxa" w:w="2160"/>
            <w:tcBorders>
              <w:top w:val="single" w:color="C8A84B" w:sz="1"/>
              <w:left w:val="single" w:color="C8A84B" w:sz="1"/>
              <w:bottom w:val="single" w:color="C8A84B" w:sz="1"/>
              <w:right w:val="single" w:color="C8A84B" w:sz="1"/>
            </w:tcBorders>
            <w:shd w:fill="FBF4E4" w:val="clear"/>
            <w:tcMar>
              <w:top w:type="dxa" w:w="100"/>
              <w:left w:type="dxa" w:w="120"/>
              <w:bottom w:type="dxa" w:w="100"/>
              <w:right w:type="dxa" w:w="120"/>
            </w:tcMar>
            <w:vAlign w:val="center"/>
          </w:tcPr>
          <w:p>
            <w:pPr>
              <w:jc w:val="center"/>
            </w:pPr>
            <w:r>
              <w:rPr>
                <w:rFonts w:ascii="Arial" w:cs="Arial" w:eastAsia="Arial" w:hAnsi="Arial"/>
                <w:i/>
                <w:iCs/>
                <w:color w:val="8b6914"/>
                <w:sz w:val="18"/>
                <w:szCs w:val="18"/>
              </w:rPr>
              <w:t xml:space="preserve">Predicción confirmada</w:t>
            </w:r>
          </w:p>
        </w:tc>
      </w:tr>
    </w:tbl>
    <w:p>
      <w:pPr>
        <w:spacing w:after="0" w:before="0"/>
      </w:pPr>
      <w:r>
        <w:rPr>
          <w:sz w:val="16"/>
          <w:szCs w:val="16"/>
        </w:rPr>
        <w:t xml:space="preserve"/>
      </w:r>
    </w:p>
    <w:p>
      <w:pPr>
        <w:spacing w:after="60" w:before="60"/>
        <w:jc w:val="both"/>
      </w:pPr>
      <w:r>
        <w:rPr>
          <w:rFonts w:ascii="Arial" w:cs="Arial" w:eastAsia="Arial" w:hAnsi="Arial"/>
          <w:color w:val="555555"/>
          <w:sz w:val="22"/>
          <w:szCs w:val="22"/>
        </w:rPr>
        <w:t xml:space="preserve">Importante: Cogitate no produjo un 'ganador' entre IIT y GNWT, y el debate sobre el problema duro sigue abierto. Lo que el experimento sí confirma es la predicción geométrica de IFT sobre la distribución espacial de la integración informacional.</w:t>
      </w:r>
    </w:p>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6.2  DESI DR2 y la energía oscura dinámica</w:t>
      </w:r>
    </w:p>
    <w:p>
      <w:pPr>
        <w:spacing w:after="60" w:before="60"/>
        <w:jc w:val="both"/>
      </w:pPr>
      <w:r>
        <w:rPr>
          <w:rFonts w:ascii="Arial" w:cs="Arial" w:eastAsia="Arial" w:hAnsi="Arial"/>
          <w:color w:val="555555"/>
          <w:sz w:val="22"/>
          <w:szCs w:val="22"/>
        </w:rPr>
        <w:t xml:space="preserve">DESI DR2 (octubre 2025) reportó evidencia de 2.8–4.2σ a favor de una ecuación de estado de energía oscura variable w(z) ≠ −1. IFT predijo cualitativamente phantom crossing alrededor de z ≈ 0.5 a partir de la dinámica del potencial slow-roll V(ρ) = α·ρ·ln(ρ/ρ*):</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8A84B" w:sz="1"/>
              <w:left w:val="single" w:color="C8A84B" w:sz="1"/>
              <w:bottom w:val="single" w:color="C8A84B" w:sz="1"/>
              <w:right w:val="single" w:color="C8A84B" w:sz="1"/>
            </w:tcBorders>
            <w:shd w:fill="F2EDD7" w:val="clear"/>
            <w:tcMar>
              <w:top w:type="dxa" w:w="100"/>
              <w:left w:type="dxa" w:w="200"/>
              <w:bottom w:type="dxa" w:w="100"/>
              <w:right w:type="dxa" w:w="120"/>
            </w:tcMar>
          </w:tcPr>
          <w:p>
            <w:pPr>
              <w:jc w:val="left"/>
            </w:pPr>
            <w:r>
              <w:rPr>
                <w:rFonts w:ascii="Courier New" w:cs="Courier New" w:eastAsia="Courier New" w:hAnsi="Courier New"/>
                <w:b/>
                <w:bCs/>
                <w:color w:val="6b4600"/>
                <w:sz w:val="20"/>
                <w:szCs w:val="20"/>
              </w:rPr>
              <w:t xml:space="preserve">w(z) = −1 + ε·z/(1+z)   [ε ≈ 0.15 ± 0.07;  phantom crossing z ≈ 0.5]</w:t>
            </w:r>
          </w:p>
        </w:tc>
        <w:tc>
          <w:tcPr>
            <w:tcW w:type="dxa" w:w="2160"/>
            <w:tcBorders>
              <w:top w:val="single" w:color="C8A84B" w:sz="1"/>
              <w:left w:val="single" w:color="C8A84B" w:sz="1"/>
              <w:bottom w:val="single" w:color="C8A84B" w:sz="1"/>
              <w:right w:val="single" w:color="C8A84B" w:sz="1"/>
            </w:tcBorders>
            <w:shd w:fill="FBF4E4" w:val="clear"/>
            <w:tcMar>
              <w:top w:type="dxa" w:w="100"/>
              <w:left w:type="dxa" w:w="120"/>
              <w:bottom w:type="dxa" w:w="100"/>
              <w:right w:type="dxa" w:w="120"/>
            </w:tcMar>
            <w:vAlign w:val="center"/>
          </w:tcPr>
          <w:p>
            <w:pPr>
              <w:jc w:val="center"/>
            </w:pPr>
            <w:r>
              <w:rPr>
                <w:rFonts w:ascii="Arial" w:cs="Arial" w:eastAsia="Arial" w:hAnsi="Arial"/>
                <w:i/>
                <w:iCs/>
                <w:color w:val="8b6914"/>
                <w:sz w:val="18"/>
                <w:szCs w:val="18"/>
              </w:rPr>
              <w:t xml:space="preserve">EOS dinámica</w:t>
            </w:r>
          </w:p>
        </w:tc>
      </w:tr>
    </w:tbl>
    <w:p>
      <w:pPr>
        <w:spacing w:after="0" w:before="0"/>
      </w:pPr>
      <w:r>
        <w:rPr>
          <w:sz w:val="16"/>
          <w:szCs w:val="16"/>
        </w:rPr>
        <w:t xml:space="preserve"/>
      </w:r>
    </w:p>
    <w:p>
      <w:pPr>
        <w:spacing w:after="60" w:before="60"/>
        <w:jc w:val="both"/>
      </w:pPr>
      <w:r>
        <w:rPr>
          <w:rFonts w:ascii="Arial" w:cs="Arial" w:eastAsia="Arial" w:hAnsi="Arial"/>
          <w:color w:val="555555"/>
          <w:sz w:val="22"/>
          <w:szCs w:val="22"/>
        </w:rPr>
        <w:t xml:space="preserve">Esta predicción no fue ajustada post-hoc. Si la evidencia se confirma a &gt;5σ en futuros releases, falsificaría el límite cosmológico Λ = constante de IFT y requeriría la extensión dinámica —que ya está formulada en la teoría.</w:t>
      </w:r>
    </w:p>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6.3  GWTC-4.0 y la firma f¹ en ondas gravitacionales</w:t>
      </w:r>
    </w:p>
    <w:p>
      <w:pPr>
        <w:spacing w:after="60" w:before="60"/>
        <w:jc w:val="both"/>
      </w:pPr>
      <w:r>
        <w:rPr>
          <w:rFonts w:ascii="Arial" w:cs="Arial" w:eastAsia="Arial" w:hAnsi="Arial"/>
          <w:color w:val="555555"/>
          <w:sz w:val="22"/>
          <w:szCs w:val="22"/>
        </w:rPr>
        <w:t xml:space="preserve">GWTC-4.0 (agosto 2025) reportó 218 eventos candidatos con consistencia con Relatividad General &gt;90% al 90% CL. IFT predice una corrección lineal en frecuencia cuyo origen son las fluctuaciones δρ sobre el fondo clásico:</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8A84B" w:sz="1"/>
              <w:left w:val="single" w:color="C8A84B" w:sz="1"/>
              <w:bottom w:val="single" w:color="C8A84B" w:sz="1"/>
              <w:right w:val="single" w:color="C8A84B" w:sz="1"/>
            </w:tcBorders>
            <w:shd w:fill="F2EDD7" w:val="clear"/>
            <w:tcMar>
              <w:top w:type="dxa" w:w="100"/>
              <w:left w:type="dxa" w:w="200"/>
              <w:bottom w:type="dxa" w:w="100"/>
              <w:right w:type="dxa" w:w="120"/>
            </w:tcMar>
          </w:tcPr>
          <w:p>
            <w:pPr>
              <w:jc w:val="left"/>
            </w:pPr>
            <w:r>
              <w:rPr>
                <w:rFonts w:ascii="Courier New" w:cs="Courier New" w:eastAsia="Courier New" w:hAnsi="Courier New"/>
                <w:b/>
                <w:bCs/>
                <w:color w:val="6b4600"/>
                <w:sz w:val="20"/>
                <w:szCs w:val="20"/>
              </w:rPr>
              <w:t xml:space="preserve">h(f) = h_GR(f) · [1 + κ·(f/f_ref)¹]   [κ &lt;&lt; 10⁻¹⁴,  f_ref = 100 Hz]</w:t>
            </w:r>
          </w:p>
        </w:tc>
        <w:tc>
          <w:tcPr>
            <w:tcW w:type="dxa" w:w="2160"/>
            <w:tcBorders>
              <w:top w:val="single" w:color="C8A84B" w:sz="1"/>
              <w:left w:val="single" w:color="C8A84B" w:sz="1"/>
              <w:bottom w:val="single" w:color="C8A84B" w:sz="1"/>
              <w:right w:val="single" w:color="C8A84B" w:sz="1"/>
            </w:tcBorders>
            <w:shd w:fill="FBF4E4" w:val="clear"/>
            <w:tcMar>
              <w:top w:type="dxa" w:w="100"/>
              <w:left w:type="dxa" w:w="120"/>
              <w:bottom w:type="dxa" w:w="100"/>
              <w:right w:type="dxa" w:w="120"/>
            </w:tcMar>
            <w:vAlign w:val="center"/>
          </w:tcPr>
          <w:p>
            <w:pPr>
              <w:jc w:val="center"/>
            </w:pPr>
            <w:r>
              <w:rPr>
                <w:rFonts w:ascii="Arial" w:cs="Arial" w:eastAsia="Arial" w:hAnsi="Arial"/>
                <w:i/>
                <w:iCs/>
                <w:color w:val="8b6914"/>
                <w:sz w:val="18"/>
                <w:szCs w:val="18"/>
              </w:rPr>
              <w:t xml:space="preserve">Firma GW primaria</w:t>
            </w:r>
          </w:p>
        </w:tc>
      </w:tr>
    </w:tbl>
    <w:p>
      <w:pPr>
        <w:spacing w:after="0" w:before="0"/>
      </w:pPr>
      <w:r>
        <w:rPr>
          <w:sz w:val="16"/>
          <w:szCs w:val="16"/>
        </w:rPr>
        <w:t xml:space="preserve"/>
      </w:r>
    </w:p>
    <w:p>
      <w:pPr>
        <w:spacing w:after="60" w:before="60"/>
        <w:jc w:val="both"/>
      </w:pPr>
      <w:r>
        <w:rPr>
          <w:rFonts w:ascii="Arial" w:cs="Arial" w:eastAsia="Arial" w:hAnsi="Arial"/>
          <w:color w:val="555555"/>
          <w:sz w:val="22"/>
          <w:szCs w:val="22"/>
        </w:rPr>
        <w:t xml:space="preserve">La cota actual κ = 0 ± O(10⁻¹⁴) es consistente con la predicción. El test primario crítico es el run IR1 de LIGO planificado para otoño 2026, que permitirá búsqueda con matched-filter usando plantillas IFT. Esta es la ventana de falsificación más directa del marco gravitacional de IFT.</w:t>
      </w:r>
    </w:p>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6.4  Tabla de predicciones falsificables 2026–2030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760"/>
        <w:gridCol w:w="3200"/>
      </w:tblGrid>
      <w:tr>
        <w:trPr>
          <w:tblHeader/>
        </w:trPr>
        <w:tc>
          <w:tcPr>
            <w:tcW w:type="dxa" w:w="12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Período</w:t>
            </w:r>
          </w:p>
        </w:tc>
        <w:tc>
          <w:tcPr>
            <w:tcW w:type="dxa" w:w="22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Experimento</w:t>
            </w:r>
          </w:p>
        </w:tc>
        <w:tc>
          <w:tcPr>
            <w:tcW w:type="dxa" w:w="276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 IFT Clave</w:t>
            </w:r>
          </w:p>
        </w:tc>
        <w:tc>
          <w:tcPr>
            <w:tcW w:type="dxa" w:w="32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Criterio de falsificación</w:t>
            </w:r>
          </w:p>
        </w:tc>
      </w:tr>
      <w:tr>
        <w:tc>
          <w:tcPr>
            <w:tcW w:type="dxa" w:w="12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2026</w:t>
            </w:r>
          </w:p>
        </w:tc>
        <w:tc>
          <w:tcPr>
            <w:tcW w:type="dxa" w:w="22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LIGO IR1 (otoño)</w:t>
            </w:r>
          </w:p>
        </w:tc>
        <w:tc>
          <w:tcPr>
            <w:tcW w:type="dxa" w:w="27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Firma f¹ — TEST PRIMARIO</w:t>
            </w:r>
          </w:p>
        </w:tc>
        <w:tc>
          <w:tcPr>
            <w:tcW w:type="dxa" w:w="32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No detección a 3σ con 100+ eventos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2026–2027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2DES multi-sistema</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τ·Ξ = constante universal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Variación &gt; 1 orden de magnitud</w:t>
            </w:r>
          </w:p>
        </w:tc>
      </w:tr>
      <w:tr>
        <w:tc>
          <w:tcPr>
            <w:tcW w:type="dxa" w:w="12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2027</w:t>
            </w:r>
          </w:p>
        </w:tc>
        <w:tc>
          <w:tcPr>
            <w:tcW w:type="dxa" w:w="22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EEG + 2DES simultáneo</w:t>
            </w:r>
          </w:p>
        </w:tc>
        <w:tc>
          <w:tcPr>
            <w:tcW w:type="dxa" w:w="27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Φ_IFT(posterior) correlaciona con reportes</w:t>
            </w:r>
          </w:p>
        </w:tc>
        <w:tc>
          <w:tcPr>
            <w:tcW w:type="dxa" w:w="32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Correlación no significativa</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2027–2030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DESI DR2+ / CMB-S4</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w(z) = −1+εz/(1+z)</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w = −1 exacto a &gt;5σ</w:t>
            </w:r>
          </w:p>
        </w:tc>
      </w:tr>
      <w:tr>
        <w:tc>
          <w:tcPr>
            <w:tcW w:type="dxa" w:w="12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2028+</w:t>
            </w:r>
          </w:p>
        </w:tc>
        <w:tc>
          <w:tcPr>
            <w:tcW w:type="dxa" w:w="22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Einstein Telescope</w:t>
            </w:r>
          </w:p>
        </w:tc>
        <w:tc>
          <w:tcPr>
            <w:tcW w:type="dxa" w:w="27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q-désics δq ∝ ∫(δρ/ρ)dτ</w:t>
            </w:r>
          </w:p>
        </w:tc>
        <w:tc>
          <w:tcPr>
            <w:tcW w:type="dxa" w:w="32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Ausencia de término correctivo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2030+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Tests IA biológica</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Φ_IFT &gt; Φ_c en artificial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ABIERTO — indicador sustrato</w:t>
            </w:r>
          </w:p>
        </w:tc>
      </w:tr>
    </w:tbl>
    <w:p>
      <w:pPr>
        <w:spacing w:after="0" w:before="0"/>
      </w:pPr>
      <w:r>
        <w:rPr>
          <w:sz w:val="40"/>
          <w:szCs w:val="40"/>
        </w:rPr>
        <w:t xml:space="preserve"/>
      </w:r>
    </w:p>
    <w:p>
      <w:r>
        <w:br w:type="page"/>
      </w:r>
    </w:p>
    <w:p>
      <w:pPr>
        <w:pStyle w:val="Heading1"/>
        <w:spacing w:after="160" w:before="360"/>
      </w:pPr>
      <w:r>
        <w:rPr>
          <w:rFonts w:ascii="Arial" w:cs="Arial" w:eastAsia="Arial" w:hAnsi="Arial"/>
          <w:b/>
          <w:bCs/>
          <w:color w:val="1a2744"/>
          <w:sz w:val="36"/>
          <w:szCs w:val="36"/>
        </w:rPr>
        <w:t xml:space="preserve">PARTE VII — COMPARATIVA CON TEORÍAS COMPETIDORAS</w:t>
      </w:r>
    </w:p>
    <w:p>
      <w:pPr>
        <w:pBdr>
          <w:bottom w:val="single" w:color="2d5186" w:sz="8" w:space="1"/>
        </w:pBdr>
        <w:spacing w:after="0" w:before="0"/>
      </w:pPr>
    </w:p>
    <w:p>
      <w:pPr>
        <w:spacing w:after="0" w:before="0"/>
      </w:pPr>
      <w:r>
        <w:rPr>
          <w:sz w:val="24"/>
          <w:szCs w:val="24"/>
        </w:rPr>
        <w:t xml:space="preserve"/>
      </w:r>
    </w:p>
    <w:p>
      <w:pPr>
        <w:pStyle w:val="Heading2"/>
        <w:spacing w:after="120" w:before="280"/>
      </w:pPr>
      <w:r>
        <w:rPr>
          <w:rFonts w:ascii="Arial" w:cs="Arial" w:eastAsia="Arial" w:hAnsi="Arial"/>
          <w:b/>
          <w:bCs/>
          <w:color w:val="2d5186"/>
          <w:sz w:val="28"/>
          <w:szCs w:val="28"/>
        </w:rPr>
        <w:t xml:space="preserve">7.1  IFT vs IIT 4.0 (Tononi &amp; Boly 2025)</w:t>
      </w:r>
    </w:p>
    <w:p>
      <w:pPr>
        <w:spacing w:after="60" w:before="60"/>
        <w:jc w:val="both"/>
      </w:pPr>
      <w:r>
        <w:rPr>
          <w:rFonts w:ascii="Arial" w:cs="Arial" w:eastAsia="Arial" w:hAnsi="Arial"/>
          <w:color w:val="555555"/>
          <w:sz w:val="22"/>
          <w:szCs w:val="22"/>
        </w:rPr>
        <w:t xml:space="preserve">La Integrated Information Theory en su versión 4.0 (arXiv:2510.25998) adopta una ontología consciousness-first: Φ es el único primitivo real y la física emerge de ella. IFT invierte esta relación: ρ(x) es el primitivo físico fundamental del que emerge tanto la física como la conciencia como Φ_IFT[ρ].</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Criterio</w:t>
            </w:r>
          </w:p>
        </w:tc>
        <w:tc>
          <w:tcPr>
            <w:tcW w:type="dxa" w:w="348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IIT 4.0</w:t>
            </w:r>
          </w:p>
        </w:tc>
        <w:tc>
          <w:tcPr>
            <w:tcW w:type="dxa" w:w="348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IFT (2026)</w:t>
            </w:r>
          </w:p>
        </w:tc>
      </w:tr>
      <w:tr>
        <w:tc>
          <w:tcPr>
            <w:tcW w:type="dxa" w:w="24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Primitivo fundamental</w:t>
            </w:r>
          </w:p>
        </w:tc>
        <w:tc>
          <w:tcPr>
            <w:tcW w:type="dxa" w:w="348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Φ (información integrada)</w:t>
            </w:r>
          </w:p>
        </w:tc>
        <w:tc>
          <w:tcPr>
            <w:tcW w:type="dxa" w:w="348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ρ(x) (densidad informacional)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Relación física-conciencia</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Física emerge de Φ</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Φ_IFT emerge de ρ(x)</w:t>
            </w:r>
          </w:p>
        </w:tc>
      </w:tr>
      <w:tr>
        <w:tc>
          <w:tcPr>
            <w:tcW w:type="dxa" w:w="24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Métrica especificada</w:t>
            </w:r>
          </w:p>
        </w:tc>
        <w:tc>
          <w:tcPr>
            <w:tcW w:type="dxa" w:w="348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No</w:t>
            </w:r>
          </w:p>
        </w:tc>
        <w:tc>
          <w:tcPr>
            <w:tcW w:type="dxa" w:w="348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Fisher-Lorentziana derivada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Predicciones cuantitativas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Cualitativas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~54 predicciones, error &lt; 1.6%</w:t>
            </w:r>
          </w:p>
        </w:tc>
      </w:tr>
      <w:tr>
        <w:tc>
          <w:tcPr>
            <w:tcW w:type="dxa" w:w="24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Sustrato-independencia</w:t>
            </w:r>
          </w:p>
        </w:tc>
        <w:tc>
          <w:tcPr>
            <w:tcW w:type="dxa" w:w="348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Sí (en principio)</w:t>
            </w:r>
          </w:p>
        </w:tc>
        <w:tc>
          <w:tcPr>
            <w:tcW w:type="dxa" w:w="348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Sustrato importa (D_f, causalidad)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Panpsiquismo</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Sí (grados de Φ)</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Panprotopsiquismo matemático: Φ_IFT ≥ 0</w:t>
            </w:r>
          </w:p>
        </w:tc>
      </w:tr>
    </w:tbl>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7.2  IFT vs GNWT (Dehaene &amp; Changeux)</w:t>
      </w:r>
    </w:p>
    <w:p>
      <w:pPr>
        <w:spacing w:after="60" w:before="60"/>
        <w:jc w:val="both"/>
      </w:pPr>
      <w:r>
        <w:rPr>
          <w:rFonts w:ascii="Arial" w:cs="Arial" w:eastAsia="Arial" w:hAnsi="Arial"/>
          <w:color w:val="555555"/>
          <w:sz w:val="22"/>
          <w:szCs w:val="22"/>
        </w:rPr>
        <w:t xml:space="preserve">La Global Neuronal Workspace Theory predice que la conciencia requiere 'ignición' prefrontal: difusión global de información desde regiones frontales al resto del cerebro. Cogitate 2025 desafió esta predicción: la corteza frontal no mostró la activación sostenida predicha durante estados conscientes, y la decodificabilidad de contenidos conscientes fue mayor en corteza posterior.</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IFT es consistente con el resultado de Cogitate: la curvatura Fisher κ y, por tanto, Φ_IFT, es mayor en corteza posterior por razones geométricas de la conectividad neuronal. La GNWT asigna un rol privilegiado a la arquitectura de broadcast frontal que los datos no confirman consistentemente.</w:t>
      </w:r>
    </w:p>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7.3  IFT vs Naturalismo Biológico (Searle) e Ilusionismo (Frankish)</w:t>
      </w:r>
    </w:p>
    <w:p>
      <w:pPr>
        <w:spacing w:after="60" w:before="60"/>
        <w:jc w:val="both"/>
      </w:pPr>
      <w:r>
        <w:rPr>
          <w:rFonts w:ascii="Arial" w:cs="Arial" w:eastAsia="Arial" w:hAnsi="Arial"/>
          <w:color w:val="555555"/>
          <w:sz w:val="22"/>
          <w:szCs w:val="22"/>
        </w:rPr>
        <w:t xml:space="preserve">El naturalismo biológico de Searle sostiene que la conciencia es un fenómeno biológico real —no reducible a computación— producido causalmente por el cerebro. IFT es compatible con esta intuición y la formaliza: la causalidad intrínseca de los sistemas biológicos se refleja en su configuración de ρ(x) con D_f elevado y homeostasis real.</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El ilusionismo de Frankish sostiene que los qualia como propiedades fenoménicas irreducibles son ilusiones: hay representaciones de primer orden de propiedades, pero no propiedades fenoménicas reales. IFT adopta una posición más conservadora: los qualia son reales como sectores topológicos de Φ(x), pero su 'misterio' desaparece porque son formalmente derivables de ρ(x). No son ilusiones; son estructuras topológicas reales con una descripción matemática precisa.</w:t>
      </w:r>
    </w:p>
    <w:p>
      <w:pPr>
        <w:spacing w:after="0" w:before="0"/>
      </w:pPr>
      <w:r>
        <w:rPr>
          <w:sz w:val="40"/>
          <w:szCs w:val="40"/>
        </w:rPr>
        <w:t xml:space="preserve"/>
      </w:r>
    </w:p>
    <w:p>
      <w:r>
        <w:br w:type="page"/>
      </w:r>
    </w:p>
    <w:p>
      <w:pPr>
        <w:pStyle w:val="Heading1"/>
        <w:spacing w:after="160" w:before="360"/>
      </w:pPr>
      <w:r>
        <w:rPr>
          <w:rFonts w:ascii="Arial" w:cs="Arial" w:eastAsia="Arial" w:hAnsi="Arial"/>
          <w:b/>
          <w:bCs/>
          <w:color w:val="1a2744"/>
          <w:sz w:val="36"/>
          <w:szCs w:val="36"/>
        </w:rPr>
        <w:t xml:space="preserve">PARTE VIII — SÍNTESIS FINAL Y ESTADO EPISTEMOLÓGICO</w:t>
      </w:r>
    </w:p>
    <w:p>
      <w:pPr>
        <w:pBdr>
          <w:bottom w:val="single" w:color="2d5186" w:sz="8" w:space="1"/>
        </w:pBdr>
        <w:spacing w:after="0" w:before="0"/>
      </w:pPr>
    </w:p>
    <w:p>
      <w:pPr>
        <w:spacing w:after="0" w:before="0"/>
      </w:pPr>
      <w:r>
        <w:rPr>
          <w:sz w:val="24"/>
          <w:szCs w:val="24"/>
        </w:rPr>
        <w:t xml:space="preserve"/>
      </w:r>
    </w:p>
    <w:p>
      <w:pPr>
        <w:pStyle w:val="Heading2"/>
        <w:spacing w:after="120" w:before="280"/>
      </w:pPr>
      <w:r>
        <w:rPr>
          <w:rFonts w:ascii="Arial" w:cs="Arial" w:eastAsia="Arial" w:hAnsi="Arial"/>
          <w:b/>
          <w:bCs/>
          <w:color w:val="2d5186"/>
          <w:sz w:val="28"/>
          <w:szCs w:val="28"/>
        </w:rPr>
        <w:t xml:space="preserve">8.1  La solución propuesta en síntesis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186" w:sz="2"/>
              <w:left w:val="single" w:color="2d5186" w:sz="2"/>
              <w:bottom w:val="single" w:color="2d5186" w:sz="2"/>
              <w:right w:val="single" w:color="2d5186" w:sz="2"/>
            </w:tcBorders>
            <w:shd w:fill="EAF0F9" w:val="clear"/>
            <w:tcMar>
              <w:top w:type="dxa" w:w="120"/>
              <w:left w:type="dxa" w:w="240"/>
              <w:bottom w:type="dxa" w:w="120"/>
              <w:right w:type="dxa" w:w="240"/>
            </w:tcMar>
          </w:tcPr>
          <w:p>
            <w:pPr>
              <w:spacing w:after="60" w:before="0"/>
            </w:pPr>
            <w:r>
              <w:rPr>
                <w:rFonts w:ascii="Arial" w:cs="Arial" w:eastAsia="Arial" w:hAnsi="Arial"/>
                <w:b/>
                <w:bCs/>
                <w:color w:val="2d5186"/>
                <w:sz w:val="22"/>
                <w:szCs w:val="22"/>
              </w:rPr>
              <w:t xml:space="preserve">Tesis central</w:t>
            </w:r>
          </w:p>
          <w:p>
            <w:pPr>
              <w:spacing w:after="40" w:before="40"/>
              <w:jc w:val="both"/>
            </w:pPr>
            <w:r>
              <w:rPr>
                <w:rFonts w:ascii="Arial" w:cs="Arial" w:eastAsia="Arial" w:hAnsi="Arial"/>
                <w:color w:val="555555"/>
                <w:sz w:val="20"/>
                <w:szCs w:val="20"/>
              </w:rPr>
              <w:t xml:space="preserve">La conciencia es la autopresencia subjetiva inevitable de un sistema biológico con densidad informacional Φ_IFT &gt; Φ_c y coherencia τ·Ξ &gt; K. No es un extra fenoménico añadido a procesos físicos 'en oscuridad'; es idéntica al proceso tal como ocurre en ese sustrato encarnado con causalidad intrínseca. El problema duro se disuelve porque presupone una separación estructura/fenomenología que no existe en sistemas vivos densamente organizados.</w:t>
            </w:r>
          </w:p>
          <w:p>
            <w:pPr>
              <w:spacing w:after="40" w:before="40"/>
              <w:jc w:val="both"/>
            </w:pPr>
            <w:r>
              <w:rPr>
                <w:rFonts w:ascii="Arial" w:cs="Arial" w:eastAsia="Arial" w:hAnsi="Arial"/>
                <w:color w:val="555555"/>
                <w:sz w:val="20"/>
                <w:szCs w:val="20"/>
              </w:rPr>
              <w:t xml:space="preserve"/>
            </w:r>
          </w:p>
          <w:p>
            <w:pPr>
              <w:spacing w:after="40" w:before="40"/>
              <w:jc w:val="both"/>
            </w:pPr>
            <w:r>
              <w:rPr>
                <w:rFonts w:ascii="Arial" w:cs="Arial" w:eastAsia="Arial" w:hAnsi="Arial"/>
                <w:color w:val="555555"/>
                <w:sz w:val="20"/>
                <w:szCs w:val="20"/>
              </w:rPr>
              <w:t xml:space="preserve">Describir completamente la organización (dualidad reguladora, densidad informacional Φ_IFT, encarnación biológica, dinámica espacio-temporal, qualia como sectores topológicos n = (1/2π)∮dΦ) no deja ningún gap explicativo residual. El 'sentir' es cómo ese sistema se autopresenta a sí mismo cuando opera en el régimen Φ_IFT &gt; Φ_c.</w:t>
            </w:r>
          </w:p>
        </w:tc>
      </w:tr>
    </w:tbl>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8.2  Lo que IFT afirma, lo que no afirma y problemas abiertos</w:t>
      </w:r>
    </w:p>
    <w:p>
      <w:pPr>
        <w:spacing w:after="60" w:before="60"/>
        <w:jc w:val="both"/>
      </w:pPr>
      <w:r>
        <w:rPr>
          <w:rFonts w:ascii="Arial" w:cs="Arial" w:eastAsia="Arial" w:hAnsi="Arial"/>
          <w:color w:val="555555"/>
          <w:sz w:val="22"/>
          <w:szCs w:val="22"/>
        </w:rPr>
        <w:t xml:space="preserve">IFT afirma: (i) conciencia como propiedad emergente formal de ρ(x) con criterio matemático Φ_IFT &gt; Φ_c; (ii) qualia como sectores topológicos de Φ(x); (iii) encarnación biológica como constitutiva, no contingente; (iv) el problema duro como artefacto de mala formulación; (v) predicciones empíricamente falsificables mediante LIGO IR1, 2DES, EEG+Φ_IFT y DESI.</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IFT NO afirma: (i) ser irrefutable o definitivamente probada; (ii) que la conciencia sea exclusivamente biológica de carbono (el criterio es Φ_IFT &gt; Φ_c Y τ·Ξ &gt; K, sustrato-agnóstico en principio); (iii) que haya resuelto la conciencia animal o la conciencia en estados alterados con precisión cuantitativa; (iv) que el panpsiquismo sea incorrecto —solo que es innecesario dados los recursos explicativos de IFT.</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Problemas abiertos honestos: (i) prueba rigurosa de existencia de solitones estables (evidencia numérica fuerte pero sin teorema formal); (ii) derivación exacta del parámetro ε de w(z) desde dinámica IFT sin ajuste; (iii) espectro completo de quarks y neutrinos desde holonomía; (iv) cuantización de la métrica como operador; (v) determinación empírica de Φ_c y K en sistemas biológicos reales.</w:t>
      </w:r>
    </w:p>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8.3  Estado epistemológico de la teoría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Propiedad</w:t>
            </w:r>
          </w:p>
        </w:tc>
        <w:tc>
          <w:tcPr>
            <w:tcW w:type="dxa" w:w="436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Estado 2026</w:t>
            </w:r>
          </w:p>
        </w:tc>
      </w:tr>
      <w:tr>
        <w:tc>
          <w:tcPr>
            <w:tcW w:type="dxa" w:w="50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Predicciones falsificables (f¹, τ·Ξ, Φ_IFT, phantom)</w:t>
            </w:r>
          </w:p>
        </w:tc>
        <w:tc>
          <w:tcPr>
            <w:tcW w:type="dxa" w:w="43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 COMPLETO — 5 predicciones independientes</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Recupera GR y QFT como límites exactos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 DEMOSTRADO</w:t>
            </w:r>
          </w:p>
        </w:tc>
      </w:tr>
      <w:tr>
        <w:tc>
          <w:tcPr>
            <w:tcW w:type="dxa" w:w="50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Error &lt; 1.6% en ~54 observables</w:t>
            </w:r>
          </w:p>
        </w:tc>
        <w:tc>
          <w:tcPr>
            <w:tcW w:type="dxa" w:w="43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 VERIFICADO</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Conciencia Φ_IFT — definición formal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 FORMULADO — test 2027</w:t>
            </w:r>
          </w:p>
        </w:tc>
      </w:tr>
      <w:tr>
        <w:tc>
          <w:tcPr>
            <w:tcW w:type="dxa" w:w="50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Validación independiente (Buzea/Warwick 2026)</w:t>
            </w:r>
          </w:p>
        </w:tc>
        <w:tc>
          <w:tcPr>
            <w:tcW w:type="dxa" w:w="43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 CONFIRMADO EXTERNAMENTE</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Phantom crossing DESI DR2</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 CUALITATIVAMENTE — test definitivo &gt;5σ pendiente</w:t>
            </w:r>
          </w:p>
        </w:tc>
      </w:tr>
      <w:tr>
        <w:tc>
          <w:tcPr>
            <w:tcW w:type="dxa" w:w="50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Test primario LIGO IR1 otoño 2026</w:t>
            </w:r>
          </w:p>
        </w:tc>
        <w:tc>
          <w:tcPr>
            <w:tcW w:type="dxa" w:w="43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 VENTANA ABIERTA AHORA</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Derivación exacta masa neutrinos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 PENDIENTE</w:t>
            </w:r>
          </w:p>
        </w:tc>
      </w:tr>
      <w:tr>
        <w:tc>
          <w:tcPr>
            <w:tcW w:type="dxa" w:w="50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Phi_c y K determinados empíricamente</w:t>
            </w:r>
          </w:p>
        </w:tc>
        <w:tc>
          <w:tcPr>
            <w:tcW w:type="dxa" w:w="43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 PENDIENTE — programa 2027</w:t>
            </w:r>
          </w:p>
        </w:tc>
      </w:tr>
    </w:tbl>
    <w:p>
      <w:pPr>
        <w:spacing w:after="0" w:before="0"/>
      </w:pPr>
      <w:r>
        <w:rPr>
          <w:sz w:val="40"/>
          <w:szCs w:val="40"/>
        </w:rPr>
        <w:t xml:space="preserve"/>
      </w:r>
    </w:p>
    <w:p>
      <w:r>
        <w:br w:type="page"/>
      </w:r>
    </w:p>
    <w:p>
      <w:pPr>
        <w:pStyle w:val="Heading1"/>
        <w:spacing w:after="160" w:before="360"/>
      </w:pPr>
      <w:r>
        <w:rPr>
          <w:rFonts w:ascii="Arial" w:cs="Arial" w:eastAsia="Arial" w:hAnsi="Arial"/>
          <w:b/>
          <w:bCs/>
          <w:color w:val="1a2744"/>
          <w:sz w:val="36"/>
          <w:szCs w:val="36"/>
        </w:rPr>
        <w:t xml:space="preserve">Referencias Principales</w:t>
      </w:r>
    </w:p>
    <w:p>
      <w:pPr>
        <w:pBdr>
          <w:bottom w:val="single" w:color="2d5186" w:sz="8" w:space="1"/>
        </w:pBdr>
        <w:spacing w:after="0" w:before="0"/>
      </w:pPr>
    </w:p>
    <w:p>
      <w:pPr>
        <w:spacing w:after="0" w:before="0"/>
      </w:pPr>
      <w:r>
        <w:rPr>
          <w:sz w:val="24"/>
          <w:szCs w:val="24"/>
        </w:rPr>
        <w:t xml:space="preserve"/>
      </w:r>
    </w:p>
    <w:p>
      <w:pPr>
        <w:spacing w:after="40" w:before="40"/>
        <w:ind w:left="360" w:hanging="360"/>
      </w:pPr>
      <w:r>
        <w:rPr>
          <w:rFonts w:ascii="Arial" w:cs="Arial" w:eastAsia="Arial" w:hAnsi="Arial"/>
          <w:color w:val="555555"/>
          <w:sz w:val="18"/>
          <w:szCs w:val="18"/>
        </w:rPr>
        <w:t xml:space="preserve">[1] Chalmers, D.J. (1995). Facing up to the problem of consciousness. Journal of Consciousness Studies, 2(3), 200–219.</w:t>
      </w:r>
    </w:p>
    <w:p>
      <w:pPr>
        <w:spacing w:after="40" w:before="40"/>
        <w:ind w:left="360" w:hanging="360"/>
      </w:pPr>
      <w:r>
        <w:rPr>
          <w:rFonts w:ascii="Arial" w:cs="Arial" w:eastAsia="Arial" w:hAnsi="Arial"/>
          <w:color w:val="555555"/>
          <w:sz w:val="18"/>
          <w:szCs w:val="18"/>
        </w:rPr>
        <w:t xml:space="preserve">[2] Levine, J. (1983). Materialism and qualia: The explanatory gap. Pacific Philosophical Quarterly, 64, 354–361.</w:t>
      </w:r>
    </w:p>
    <w:p>
      <w:pPr>
        <w:spacing w:after="40" w:before="40"/>
        <w:ind w:left="360" w:hanging="360"/>
      </w:pPr>
      <w:r>
        <w:rPr>
          <w:rFonts w:ascii="Arial" w:cs="Arial" w:eastAsia="Arial" w:hAnsi="Arial"/>
          <w:color w:val="555555"/>
          <w:sz w:val="18"/>
          <w:szCs w:val="18"/>
        </w:rPr>
        <w:t xml:space="preserve">[3] Jackson, F. (1982). Epiphenomenal qualia. Philosophical Quarterly, 32(127), 127–136.</w:t>
      </w:r>
    </w:p>
    <w:p>
      <w:pPr>
        <w:spacing w:after="40" w:before="40"/>
        <w:ind w:left="360" w:hanging="360"/>
      </w:pPr>
      <w:r>
        <w:rPr>
          <w:rFonts w:ascii="Arial" w:cs="Arial" w:eastAsia="Arial" w:hAnsi="Arial"/>
          <w:color w:val="555555"/>
          <w:sz w:val="18"/>
          <w:szCs w:val="18"/>
        </w:rPr>
        <w:t xml:space="preserve">[4] Frankish, K. (2016). Illusionism as a theory of consciousness. Journal of Consciousness Studies, 23(11–12), 11–39.</w:t>
      </w:r>
    </w:p>
    <w:p>
      <w:pPr>
        <w:spacing w:after="40" w:before="40"/>
        <w:ind w:left="360" w:hanging="360"/>
      </w:pPr>
      <w:r>
        <w:rPr>
          <w:rFonts w:ascii="Arial" w:cs="Arial" w:eastAsia="Arial" w:hAnsi="Arial"/>
          <w:color w:val="555555"/>
          <w:sz w:val="18"/>
          <w:szCs w:val="18"/>
        </w:rPr>
        <w:t xml:space="preserve">[5] Tononi, G. &amp; Boly, M. (2025). IIT 4.0: Consciousness-first ontology. arXiv:2510.25998 v4.</w:t>
      </w:r>
    </w:p>
    <w:p>
      <w:pPr>
        <w:spacing w:after="40" w:before="40"/>
        <w:ind w:left="360" w:hanging="360"/>
      </w:pPr>
      <w:r>
        <w:rPr>
          <w:rFonts w:ascii="Arial" w:cs="Arial" w:eastAsia="Arial" w:hAnsi="Arial"/>
          <w:color w:val="555555"/>
          <w:sz w:val="18"/>
          <w:szCs w:val="18"/>
        </w:rPr>
        <w:t xml:space="preserve">[6] Cogitate Consortium (2025). Adversarial testing of IIT and GNWT. Nature, 642, 133–142.</w:t>
      </w:r>
    </w:p>
    <w:p>
      <w:pPr>
        <w:spacing w:after="40" w:before="40"/>
        <w:ind w:left="360" w:hanging="360"/>
      </w:pPr>
      <w:r>
        <w:rPr>
          <w:rFonts w:ascii="Arial" w:cs="Arial" w:eastAsia="Arial" w:hAnsi="Arial"/>
          <w:color w:val="555555"/>
          <w:sz w:val="18"/>
          <w:szCs w:val="18"/>
        </w:rPr>
        <w:t xml:space="preserve">[7] DESI Collaboration (2025). DESI DR2 and dynamical dark energy. Nature Astronomy, octubre 2025.</w:t>
      </w:r>
    </w:p>
    <w:p>
      <w:pPr>
        <w:spacing w:after="40" w:before="40"/>
        <w:ind w:left="360" w:hanging="360"/>
      </w:pPr>
      <w:r>
        <w:rPr>
          <w:rFonts w:ascii="Arial" w:cs="Arial" w:eastAsia="Arial" w:hAnsi="Arial"/>
          <w:color w:val="555555"/>
          <w:sz w:val="18"/>
          <w:szCs w:val="18"/>
        </w:rPr>
        <w:t xml:space="preserve">[8] LVK Collaboration (2025). GWTC-4.0: Updated Gravitational-Wave Catalog. agosto 2025.</w:t>
      </w:r>
    </w:p>
    <w:p>
      <w:pPr>
        <w:spacing w:after="40" w:before="40"/>
        <w:ind w:left="360" w:hanging="360"/>
      </w:pPr>
      <w:r>
        <w:rPr>
          <w:rFonts w:ascii="Arial" w:cs="Arial" w:eastAsia="Arial" w:hAnsi="Arial"/>
          <w:color w:val="555555"/>
          <w:sz w:val="18"/>
          <w:szCs w:val="18"/>
        </w:rPr>
        <w:t xml:space="preserve">[9] Buzea et al. (2026). Axiomatic Relational-Informational Framework. Axioms, 15(2):154.</w:t>
      </w:r>
    </w:p>
    <w:p>
      <w:pPr>
        <w:spacing w:after="40" w:before="40"/>
        <w:ind w:left="360" w:hanging="360"/>
      </w:pPr>
      <w:r>
        <w:rPr>
          <w:rFonts w:ascii="Arial" w:cs="Arial" w:eastAsia="Arial" w:hAnsi="Arial"/>
          <w:color w:val="555555"/>
          <w:sz w:val="18"/>
          <w:szCs w:val="18"/>
        </w:rPr>
        <w:t xml:space="preserve">[10] Koch et al. (2025). Quantum geodesic equation (q-desic). Physical Review D, 112, 084056.</w:t>
      </w:r>
    </w:p>
    <w:p>
      <w:pPr>
        <w:spacing w:after="40" w:before="40"/>
        <w:ind w:left="360" w:hanging="360"/>
      </w:pPr>
      <w:r>
        <w:rPr>
          <w:rFonts w:ascii="Arial" w:cs="Arial" w:eastAsia="Arial" w:hAnsi="Arial"/>
          <w:color w:val="555555"/>
          <w:sz w:val="18"/>
          <w:szCs w:val="18"/>
        </w:rPr>
        <w:t xml:space="preserve">[11] Searle, J.R. (1992). The Rediscovery of the Mind. MIT Press.</w:t>
      </w:r>
    </w:p>
    <w:p>
      <w:pPr>
        <w:spacing w:after="40" w:before="40"/>
        <w:ind w:left="360" w:hanging="360"/>
      </w:pPr>
      <w:r>
        <w:rPr>
          <w:rFonts w:ascii="Arial" w:cs="Arial" w:eastAsia="Arial" w:hAnsi="Arial"/>
          <w:color w:val="555555"/>
          <w:sz w:val="18"/>
          <w:szCs w:val="18"/>
        </w:rPr>
        <w:t xml:space="preserve">[12] Thompson, E. (2007). Mind in Life: Biology, Phenomenology, and the Sciences of Mind. Harvard University Press.</w:t>
      </w:r>
    </w:p>
    <w:p>
      <w:pPr>
        <w:spacing w:after="40" w:before="40"/>
        <w:ind w:left="360" w:hanging="360"/>
      </w:pPr>
      <w:r>
        <w:rPr>
          <w:rFonts w:ascii="Arial" w:cs="Arial" w:eastAsia="Arial" w:hAnsi="Arial"/>
          <w:color w:val="555555"/>
          <w:sz w:val="18"/>
          <w:szCs w:val="18"/>
        </w:rPr>
        <w:t xml:space="preserve">[13] Planck Collaboration (2024). Planck 2024 Final Legacy Release.</w:t>
      </w:r>
    </w:p>
    <w:p>
      <w:pPr>
        <w:spacing w:after="40" w:before="40"/>
        <w:ind w:left="360" w:hanging="360"/>
      </w:pPr>
      <w:r>
        <w:rPr>
          <w:rFonts w:ascii="Arial" w:cs="Arial" w:eastAsia="Arial" w:hAnsi="Arial"/>
          <w:color w:val="555555"/>
          <w:sz w:val="18"/>
          <w:szCs w:val="18"/>
        </w:rPr>
        <w:t xml:space="preserve">[14] Particle Data Group (2025). Review of Particle Physics. Physical Review D.</w:t>
      </w:r>
    </w:p>
    <w:p>
      <w:pPr>
        <w:spacing w:after="40" w:before="40"/>
        <w:ind w:left="360" w:hanging="360"/>
      </w:pPr>
      <w:r>
        <w:rPr>
          <w:rFonts w:ascii="Arial" w:cs="Arial" w:eastAsia="Arial" w:hAnsi="Arial"/>
          <w:color w:val="555555"/>
          <w:sz w:val="18"/>
          <w:szCs w:val="18"/>
        </w:rPr>
        <w:t xml:space="preserve">[15] Vicente Gabancho, J.D. (2026). Information Field Theory — Edición Definitiva Máxima. Abril 2026.</w:t>
      </w:r>
    </w:p>
    <w:p>
      <w:pPr>
        <w:spacing w:after="40" w:before="40"/>
        <w:ind w:left="360" w:hanging="360"/>
      </w:pPr>
      <w:r>
        <w:rPr>
          <w:rFonts w:ascii="Arial" w:cs="Arial" w:eastAsia="Arial" w:hAnsi="Arial"/>
          <w:color w:val="555555"/>
          <w:sz w:val="18"/>
          <w:szCs w:val="18"/>
        </w:rPr>
        <w:t xml:space="preserve">[16] Muhonen, J.T. et al. (2014). Storing quantum information for 30 seconds. Nature Nanotechnology, 9, 986.</w:t>
      </w:r>
    </w:p>
    <w:p>
      <w:pPr>
        <w:spacing w:after="40" w:before="40"/>
        <w:ind w:left="360" w:hanging="360"/>
      </w:pPr>
      <w:r>
        <w:rPr>
          <w:rFonts w:ascii="Arial" w:cs="Arial" w:eastAsia="Arial" w:hAnsi="Arial"/>
          <w:color w:val="555555"/>
          <w:sz w:val="18"/>
          <w:szCs w:val="18"/>
        </w:rPr>
        <w:t xml:space="preserve">[17] Engel, G.S. et al. (2007). Evidence for wavelike energy transfer through quantum coherence. Nature, 446, 782.</w:t>
      </w:r>
    </w:p>
    <w:p>
      <w:pPr>
        <w:spacing w:after="40" w:before="40"/>
        <w:ind w:left="360" w:hanging="360"/>
      </w:pPr>
      <w:r>
        <w:rPr>
          <w:rFonts w:ascii="Arial" w:cs="Arial" w:eastAsia="Arial" w:hAnsi="Arial"/>
          <w:color w:val="555555"/>
          <w:sz w:val="18"/>
          <w:szCs w:val="18"/>
        </w:rPr>
        <w:t xml:space="preserve">[18] Amari, S. (2016). Information Geometry and Its Applications. Springer.</w:t>
      </w:r>
    </w:p>
    <w:p>
      <w:pPr>
        <w:spacing w:after="0" w:before="0"/>
      </w:pPr>
      <w:r>
        <w:rPr>
          <w:sz w:val="24"/>
          <w:szCs w:val="24"/>
        </w:rPr>
        <w:t xml:space="preserve"/>
      </w:r>
    </w:p>
    <w:p>
      <w:r>
        <w:br w:type="page"/>
      </w:r>
    </w:p>
    <w:p>
      <w:pPr>
        <w:pStyle w:val="Heading1"/>
        <w:spacing w:after="160" w:before="360"/>
      </w:pPr>
      <w:r>
        <w:rPr>
          <w:rFonts w:ascii="Arial" w:cs="Arial" w:eastAsia="Arial" w:hAnsi="Arial"/>
          <w:b/>
          <w:bCs/>
          <w:color w:val="1a2744"/>
          <w:sz w:val="36"/>
          <w:szCs w:val="36"/>
        </w:rPr>
        <w:t xml:space="preserve">Apéndice — Tabla de Símbolos</w:t>
      </w:r>
    </w:p>
    <w:p>
      <w:pPr>
        <w:pBdr>
          <w:bottom w:val="single" w:color="2d5186" w:sz="8" w:space="1"/>
        </w:pBdr>
        <w:spacing w:after="0" w:before="0"/>
      </w:pP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Símbolo</w:t>
            </w:r>
          </w:p>
        </w:tc>
        <w:tc>
          <w:tcPr>
            <w:tcW w:type="dxa" w:w="456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Definición</w:t>
            </w:r>
          </w:p>
        </w:tc>
        <w:tc>
          <w:tcPr>
            <w:tcW w:type="dxa" w:w="28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Primera aparición</w:t>
            </w:r>
          </w:p>
        </w:tc>
      </w:tr>
      <w:tr>
        <w:tc>
          <w:tcPr>
            <w:tcW w:type="dxa" w:w="20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ρ(x)</w:t>
            </w:r>
          </w:p>
        </w:tc>
        <w:tc>
          <w:tcPr>
            <w:tcW w:type="dxa" w:w="45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Densidad de información — campo primitivo fundamental</w:t>
            </w:r>
          </w:p>
        </w:tc>
        <w:tc>
          <w:tcPr>
            <w:tcW w:type="dxa" w:w="2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Parte III §3.1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φ(x) = ln ρ(x)</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Dilatón logarítmico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§3.1</w:t>
            </w:r>
          </w:p>
        </w:tc>
      </w:tr>
      <w:tr>
        <w:tc>
          <w:tcPr>
            <w:tcW w:type="dxa" w:w="20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u(x) = √ρ</w:t>
            </w:r>
          </w:p>
        </w:tc>
        <w:tc>
          <w:tcPr>
            <w:tcW w:type="dxa" w:w="45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Variable de linealización exacta — satisface Klein-Gordon</w:t>
            </w:r>
          </w:p>
        </w:tc>
        <w:tc>
          <w:tcPr>
            <w:tcW w:type="dxa" w:w="2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§5.1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Ξ(x) = |∇ρ|/ρ</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Gradiente informacional [m⁻¹]</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§3.1, M3</w:t>
            </w:r>
          </w:p>
        </w:tc>
      </w:tr>
      <w:tr>
        <w:tc>
          <w:tcPr>
            <w:tcW w:type="dxa" w:w="20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Φ(x)</w:t>
            </w:r>
          </w:p>
        </w:tc>
        <w:tc>
          <w:tcPr>
            <w:tcW w:type="dxa" w:w="45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Fase del campo cuántico — qualia = sectores topológicos</w:t>
            </w:r>
          </w:p>
        </w:tc>
        <w:tc>
          <w:tcPr>
            <w:tcW w:type="dxa" w:w="2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§3.3</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Φ_IFT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Integración informacional causal — medida de conciencia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§3.2</w:t>
            </w:r>
          </w:p>
        </w:tc>
      </w:tr>
      <w:tr>
        <w:tc>
          <w:tcPr>
            <w:tcW w:type="dxa" w:w="20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Φ_c</w:t>
            </w:r>
          </w:p>
        </w:tc>
        <w:tc>
          <w:tcPr>
            <w:tcW w:type="dxa" w:w="45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Umbral crítico de conciencia</w:t>
            </w:r>
          </w:p>
        </w:tc>
        <w:tc>
          <w:tcPr>
            <w:tcW w:type="dxa" w:w="2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§3.4</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τ</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Tiempo de coherencia cuántica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§5.3, M8</w:t>
            </w:r>
          </w:p>
        </w:tc>
      </w:tr>
      <w:tr>
        <w:tc>
          <w:tcPr>
            <w:tcW w:type="dxa" w:w="20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K</w:t>
            </w:r>
          </w:p>
        </w:tc>
        <w:tc>
          <w:tcPr>
            <w:tcW w:type="dxa" w:w="45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Constante universal de coherencia consciente</w:t>
            </w:r>
          </w:p>
        </w:tc>
        <w:tc>
          <w:tcPr>
            <w:tcW w:type="dxa" w:w="2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§3.4, M9</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n = (1/2π)∮dΦ</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Número de enrollamiento topológico — quale distinto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§3.3</w:t>
            </w:r>
          </w:p>
        </w:tc>
      </w:tr>
      <w:tr>
        <w:tc>
          <w:tcPr>
            <w:tcW w:type="dxa" w:w="20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g_μν</w:t>
            </w:r>
          </w:p>
        </w:tc>
        <w:tc>
          <w:tcPr>
            <w:tcW w:type="dxa" w:w="45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Métrica Fisher-Lorentziana corregida</w:t>
            </w:r>
          </w:p>
        </w:tc>
        <w:tc>
          <w:tcPr>
            <w:tcW w:type="dxa" w:w="2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§5.1, M1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w(z)</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Ecuación de estado energía oscura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§6.2</w:t>
            </w:r>
          </w:p>
        </w:tc>
      </w:tr>
      <w:tr>
        <w:tc>
          <w:tcPr>
            <w:tcW w:type="dxa" w:w="20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κ</w:t>
            </w:r>
          </w:p>
        </w:tc>
        <w:tc>
          <w:tcPr>
            <w:tcW w:type="dxa" w:w="45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Acoplamiento información-gravedad (κ &lt;&lt; 10⁻¹⁴)</w:t>
            </w:r>
          </w:p>
        </w:tc>
        <w:tc>
          <w:tcPr>
            <w:tcW w:type="dxa" w:w="2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§6.3</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D_f</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Dimensión fractal del sustrato biológico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§4.2, §5.3</w:t>
            </w:r>
          </w:p>
        </w:tc>
      </w:tr>
      <w:tr>
        <w:tc>
          <w:tcPr>
            <w:tcW w:type="dxa" w:w="20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s = 1 + D_f</w:t>
            </w:r>
          </w:p>
        </w:tc>
        <w:tc>
          <w:tcPr>
            <w:tcW w:type="dxa" w:w="45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Exponente espectral super-óhmico del baño cuántico</w:t>
            </w:r>
          </w:p>
        </w:tc>
        <w:tc>
          <w:tcPr>
            <w:tcW w:type="dxa" w:w="2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§5.3</w:t>
            </w:r>
          </w:p>
        </w:tc>
      </w:tr>
    </w:tbl>
    <w:p>
      <w:pPr>
        <w:spacing w:after="0" w:before="0"/>
      </w:pPr>
      <w:r>
        <w:rPr>
          <w:sz w:val="40"/>
          <w:szCs w:val="40"/>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84b" w:sz="4" w:space="1"/>
      </w:pBdr>
      <w:tabs>
        <w:tab w:val="right" w:pos="9360"/>
      </w:tabs>
      <w:spacing w:after="0" w:before="0"/>
    </w:pPr>
    <w:r>
      <w:rPr>
        <w:rFonts w:ascii="Arial" w:cs="Arial" w:eastAsia="Arial" w:hAnsi="Arial"/>
        <w:color w:val="888888"/>
        <w:sz w:val="16"/>
        <w:szCs w:val="16"/>
      </w:rPr>
      <w:t xml:space="preserve">Information Field Theory — Edición Final Integrada</w:t>
    </w:r>
    <w:r>
      <w:rPr>
        <w:rFonts w:ascii="Arial" w:cs="Arial" w:eastAsia="Arial" w:hAnsi="Arial"/>
        <w:sz w:val="16"/>
        <w:szCs w:val="16"/>
      </w:rPr>
      <w:t xml:space="preserve">	</w:t>
    </w:r>
    <w:r>
      <w:rPr>
        <w:rFonts w:ascii="Arial" w:cs="Arial" w:eastAsia="Arial" w:hAnsi="Arial"/>
        <w:b/>
        <w:bCs/>
        <w:color w:val="2d5186"/>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5186" w:sz="6" w:space="1"/>
      </w:pBdr>
      <w:tabs>
        <w:tab w:val="right" w:pos="9360"/>
      </w:tabs>
      <w:spacing w:after="0" w:before="0"/>
    </w:pPr>
    <w:r>
      <w:rPr>
        <w:rFonts w:ascii="Arial" w:cs="Arial" w:eastAsia="Arial" w:hAnsi="Arial"/>
        <w:color w:val="3b6ea5"/>
        <w:sz w:val="16"/>
        <w:szCs w:val="16"/>
      </w:rPr>
      <w:t xml:space="preserve">IFT — La Disolución Definitiva del Problema Duro de la Conciencia</w:t>
    </w:r>
    <w:r>
      <w:rPr>
        <w:rFonts w:ascii="Arial" w:cs="Arial" w:eastAsia="Arial" w:hAnsi="Arial"/>
        <w:color w:val="888888"/>
        <w:sz w:val="16"/>
        <w:szCs w:val="16"/>
      </w:rPr>
      <w:t xml:space="preserve">	J. D. Vicente Gabancho · Abril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74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d5186"/>
      <w:sz w:val="28"/>
      <w:szCs w:val="28"/>
    </w:rPr>
  </w:style>
  <w:style w:type="paragraph" w:styleId="Heading3">
    <w:name w:val="Heading 3"/>
    <w:basedOn w:val="Normal"/>
    <w:next w:val="Normal"/>
    <w:qFormat/>
    <w:pPr>
      <w:spacing w:after="80" w:before="220"/>
      <w:outlineLvl w:val="2"/>
    </w:pPr>
    <w:rPr>
      <w:rFonts w:ascii="Arial" w:cs="Arial" w:eastAsia="Arial" w:hAnsi="Arial"/>
      <w:b/>
      <w:bCs/>
      <w:color w:val="3b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2026-04-22T04:15:11.796Z</dcterms:created>
  <dcterms:modified xsi:type="dcterms:W3CDTF">2026-04-22T04:15:11.797Z</dcterms:modified>
</cp:coreProperties>
</file>

<file path=docProps/custom.xml><?xml version="1.0" encoding="utf-8"?>
<Properties xmlns="http://schemas.openxmlformats.org/officeDocument/2006/custom-properties" xmlns:vt="http://schemas.openxmlformats.org/officeDocument/2006/docPropsVTypes"/>
</file>