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400" w:type="dxa"/>
        <w:tblBorders>
          <w:top w:val="none"/>
          <w:bottom w:val="none"/>
          <w:left w:val="none"/>
          <w:right w:val="none"/>
          <w:insideH w:val="none"/>
          <w:insideV w:val="none"/>
        </w:tblBorders>
      </w:tblPr>
      <w:tr>
        <w:tc>
          <w:tcPr>
            <w:tcW w:w="1500" w:type="dxa"/>
            <w:vAlign w:val="center"/>
          </w:tcPr>
          <w:p>
            <w:pPr>
              <w:jc w:val="center"/>
              <w:spacing w:before="0" w:after="0"/>
            </w:pPr>
            <w:r>
              <w:drawing>
                <wp:inline distT="0" distB="0" distL="0" distR="0">
                  <wp:extent cx="820000" cy="820000"/>
                  <wp:effectExtent l="0" t="0" r="0" b="0"/>
                  <wp:docPr id="100" name="Futo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oCrest"/>
                          <pic:cNvPicPr/>
                        </pic:nvPicPr>
                        <pic:blipFill>
                          <a:blip xmlns:r="http://schemas.openxmlformats.org/officeDocument/2006/relationships" r:embed="rIdFuto"/>
                          <a:stretch>
                            <a:fillRect/>
                          </a:stretch>
                        </pic:blipFill>
                        <pic:spPr>
                          <a:xfrm>
                            <a:off x="0" y="0"/>
                            <a:ext cx="820000" cy="820000"/>
                          </a:xfrm>
                          <a:prstGeom prst="rect">
                            <a:avLst/>
                          </a:prstGeom>
                        </pic:spPr>
                      </pic:pic>
                    </a:graphicData>
                  </a:graphic>
                </wp:inline>
              </w:drawing>
            </w:r>
          </w:p>
        </w:tc>
        <w:tc>
          <w:tcPr>
            <w:tcW w:w="7900" w:type="dxa"/>
            <w:vAlign w:val="center"/>
          </w:tcPr>
          <w:p>
            <w:pPr>
              <w:jc w:val="center"/>
              <w:spacing w:before="0" w:after="40"/>
            </w:pPr>
            <w:r>
              <w:rPr>
                <w:b/>
                <w:sz w:val="26"/>
                <w:color w:val="000000"/>
              </w:rPr>
              <w:t>FEDERAL UNIVERSITY OF TECHNOLOGY OWERRI</w:t>
            </w:r>
          </w:p>
          <w:p>
            <w:pPr>
              <w:jc w:val="center"/>
              <w:spacing w:before="0" w:after="0"/>
            </w:pPr>
            <w:r>
              <w:rPr>
                <w:b/>
                <w:sz w:val="22"/>
                <w:color w:val="000000"/>
              </w:rPr>
              <w:t>PMB 1526,</w:t>
            </w:r>
          </w:p>
        </w:tc>
      </w:tr>
    </w:tbl>
    <w:p>
      <w:pPr>
        <w:pBdr>
          <w:bottom w:val="single" w:sz="12" w:space="1" w:color="000000"/>
        </w:pBdr>
        <w:spacing w:before="120" w:after="280"/>
      </w:pPr>
    </w:p>
    <w:p>
      <w:pPr>
        <w:jc w:val="center"/>
        <w:spacing w:before="0" w:after="280"/>
      </w:pPr>
      <w:r>
        <w:rPr>
          <w:rFonts w:ascii="Segoe UI" w:hAnsi="Segoe UI"/>
          <w:b/>
          <w:sz w:val="24"/>
          <w:color w:val="000000"/>
        </w:rPr>
        <w:t xml:space="preserve">TECHNICAL REPORT ON PURE CINEMA: HIGH-RESILIENCE CROSS-PLATFORM MOBILE STREAMING AND AI CONCIERGE APPLICATION</w:t>
      </w:r>
    </w:p>
    <w:p>
      <w:pPr>
        <w:jc w:val="center"/>
        <w:spacing w:before="100" w:after="140"/>
      </w:pPr>
      <w:r>
        <w:drawing>
          <wp:inline distT="0" distB="0" distL="0" distR="0">
            <wp:extent cx="1645920" cy="164592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Logo"/>
                    <a:stretch>
                      <a:fillRect/>
                    </a:stretch>
                  </pic:blipFill>
                  <pic:spPr>
                    <a:xfrm>
                      <a:off x="0" y="0"/>
                      <a:ext cx="1645920" cy="1645920"/>
                    </a:xfrm>
                    <a:prstGeom prst="rect">
                      <a:avLst/>
                    </a:prstGeom>
                  </pic:spPr>
                </pic:pic>
              </a:graphicData>
            </a:graphic>
          </wp:inline>
        </w:drawing>
      </w:r>
    </w:p>
    <w:p>
      <w:pPr>
        <w:spacing w:before="0" w:after="180"/>
      </w:pPr>
      <w:r>
        <w:rPr>
          <w:rFonts w:ascii="Segoe UI" w:hAnsi="Segoe UI"/>
          <w:sz w:val="22"/>
          <w:color w:val="1E293B"/>
        </w:rPr>
        <w:t xml:space="preserve"/>
      </w:r>
    </w:p>
    <w:p>
      <w:pPr>
        <w:jc w:val="center"/>
        <w:spacing w:before="0" w:after="60"/>
      </w:pPr>
      <w:r>
        <w:rPr>
          <w:rFonts w:ascii="Segoe UI" w:hAnsi="Segoe UI"/>
          <w:b/>
          <w:sz w:val="20"/>
          <w:color w:val="000000"/>
        </w:rPr>
        <w:t xml:space="preserve">SUBMITTED BY</w:t>
      </w:r>
    </w:p>
    <w:p>
      <w:pPr>
        <w:jc w:val="center"/>
        <w:spacing w:before="0" w:after="50"/>
      </w:pPr>
      <w:r>
        <w:rPr>
          <w:rFonts w:ascii="Segoe UI" w:hAnsi="Segoe UI"/>
          <w:b/>
          <w:sz w:val="22"/>
          <w:color w:val="000000"/>
        </w:rPr>
        <w:t xml:space="preserve">CHIDI-AZUWIKE SHALOM EBERE</w:t>
      </w:r>
    </w:p>
    <w:p>
      <w:pPr>
        <w:jc w:val="center"/>
        <w:spacing w:before="0" w:after="240"/>
      </w:pPr>
      <w:r>
        <w:rPr>
          <w:rFonts w:ascii="Segoe UI" w:hAnsi="Segoe UI"/>
          <w:b/>
          <w:sz w:val="22"/>
          <w:color w:val="000000"/>
        </w:rPr>
        <w:t xml:space="preserve">20211280502</w:t>
      </w:r>
    </w:p>
    <w:p>
      <w:pPr>
        <w:jc w:val="center"/>
        <w:spacing w:before="0" w:after="60"/>
      </w:pPr>
      <w:r>
        <w:rPr>
          <w:rFonts w:ascii="Segoe UI" w:hAnsi="Segoe UI"/>
          <w:b/>
          <w:sz w:val="20"/>
          <w:color w:val="000000"/>
        </w:rPr>
        <w:t xml:space="preserve">SUBMITTED TO</w:t>
      </w:r>
    </w:p>
    <w:p>
      <w:pPr>
        <w:jc w:val="center"/>
        <w:spacing w:before="0" w:after="50"/>
      </w:pPr>
      <w:r>
        <w:rPr>
          <w:rFonts w:ascii="Segoe UI" w:hAnsi="Segoe UI"/>
          <w:b/>
          <w:sz w:val="22"/>
          <w:color w:val="000000"/>
        </w:rPr>
        <w:t xml:space="preserve">DR. IHEANYICHUKWU AGUWA</w:t>
      </w:r>
    </w:p>
    <w:p>
      <w:pPr>
        <w:jc w:val="center"/>
        <w:spacing w:before="0" w:after="30"/>
      </w:pPr>
      <w:r>
        <w:rPr>
          <w:rFonts w:ascii="Segoe UI" w:hAnsi="Segoe UI"/>
          <w:b/>
          <w:sz w:val="20"/>
          <w:color w:val="000000"/>
        </w:rPr>
        <w:t xml:space="preserve">SOFTWARE ENGINEERING DEPARTMENT,</w:t>
      </w:r>
    </w:p>
    <w:p>
      <w:pPr>
        <w:jc w:val="center"/>
        <w:spacing w:before="0" w:after="280"/>
      </w:pPr>
      <w:r>
        <w:rPr>
          <w:rFonts w:ascii="Segoe UI" w:hAnsi="Segoe UI"/>
          <w:b/>
          <w:sz w:val="20"/>
          <w:color w:val="000000"/>
        </w:rPr>
        <w:t xml:space="preserve">SCHOOL OF INFORMATION AND COMMUNICATION TECHNOLOGY</w:t>
      </w:r>
    </w:p>
    <w:tbl>
      <w:tblPr>
        <w:tblW w:w="8600" w:type="dxa"/>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r>
        <w:tc>
          <w:tcPr>
            <w:tcW w:w="2600" w:type="dxa"/>
            <w:tcMar>
              <w:top w:w="140" w:type="dxa"/>
              <w:bottom w:w="140" w:type="dxa"/>
              <w:left w:w="160" w:type="dxa"/>
              <w:right w:w="160" w:type="dxa"/>
            </w:tcMar>
          </w:tcPr>
          <w:p>
            <w:pPr>
              <w:jc w:val="center"/>
            </w:pPr>
            <w:r>
              <w:rPr>
                <w:b/>
                <w:sz w:val="21"/>
              </w:rPr>
              <w:t>SEN 512</w:t>
            </w:r>
          </w:p>
        </w:tc>
        <w:tc>
          <w:tcPr>
            <w:tcW w:w="6000" w:type="dxa"/>
            <w:tcMar>
              <w:top w:w="140" w:type="dxa"/>
              <w:bottom w:w="140" w:type="dxa"/>
              <w:left w:w="160" w:type="dxa"/>
              <w:right w:w="160" w:type="dxa"/>
            </w:tcMar>
          </w:tcPr>
          <w:p>
            <w:pPr>
              <w:jc w:val="center"/>
            </w:pPr>
            <w:r>
              <w:rPr>
                <w:b/>
                <w:sz w:val="21"/>
              </w:rPr>
              <w:t>MOBILE APPLICATION DEVELOPMENT</w:t>
            </w:r>
          </w:p>
        </w:tc>
      </w:tr>
    </w:tbl>
    <w:p>
      <w:pPr>
        <w:spacing w:before="0" w:after="240"/>
      </w:pPr>
      <w:r>
        <w:rPr>
          <w:rFonts w:ascii="Segoe UI" w:hAnsi="Segoe UI"/>
          <w:sz w:val="22"/>
          <w:color w:val="1E293B"/>
        </w:rPr>
        <w:t xml:space="preserve"/>
      </w:r>
    </w:p>
    <w:p>
      <w:pPr>
        <w:jc w:val="center"/>
        <w:spacing w:before="0" w:after="120"/>
      </w:pPr>
      <w:r>
        <w:rPr>
          <w:rFonts w:ascii="Segoe UI" w:hAnsi="Segoe UI"/>
          <w:b/>
          <w:sz w:val="20"/>
          <w:color w:val="000000"/>
        </w:rPr>
        <w:t xml:space="preserve">AUGUST, 2026</w:t>
      </w:r>
    </w:p>
    <w:p>
      <w:r>
        <w:br w:type="page"/>
      </w:r>
    </w:p>
    <w:p>
      <w:pPr>
        <w:spacing w:before="100" w:after="120"/>
      </w:pPr>
      <w:r>
        <w:rPr>
          <w:rFonts w:ascii="Segoe UI" w:hAnsi="Segoe UI"/>
          <w:b/>
          <w:sz w:val="26"/>
          <w:color w:val="0F172A"/>
        </w:rPr>
        <w:t xml:space="preserve">1. INTRODUCTION &amp; THE NOUVELLE PHILOSOPHY</w:t>
      </w:r>
    </w:p>
    <w:p>
      <w:pPr>
        <w:spacing w:before="0" w:after="100"/>
      </w:pPr>
      <w:r>
        <w:rPr>
          <w:rFonts w:ascii="Segoe UI" w:hAnsi="Segoe UI"/>
          <w:sz w:val="21"/>
          <w:color w:val="1E293B"/>
        </w:rPr>
        <w:t xml:space="preserve">Before a single frame of video or AI recommendation reaches a mobile screen, user requests pass through an intentional software architecture. In conventional streaming applications, systems rely on circuit breakers that trip whenever an upstream API slows down or fails. When that happens, the mobile user is left staring at an empty layout, an endless loading spinner, or an abrupt error message.</w:t>
      </w:r>
    </w:p>
    <w:p>
      <w:pPr>
        <w:spacing w:before="0" w:after="120"/>
      </w:pPr>
      <w:r>
        <w:rPr>
          <w:rFonts w:ascii="Segoe UI" w:hAnsi="Segoe UI"/>
          <w:sz w:val="21"/>
          <w:color w:val="1E293B"/>
        </w:rPr>
        <w:t xml:space="preserve">Pure Cinema approaches mobile media streaming from a different foundational philosophy: Fail-Open Graceful Degradation. The system is designed with an unbreakable mobile invariant: the user must always receive an interactive, responsive screen. If upstream third parties experience latency or complete downtime, the backend steps in instantly with verified local fallback data.</w:t>
      </w:r>
    </w:p>
    <w:p>
      <w:pPr>
        <w:jc w:val="center"/>
        <w:spacing w:before="100" w:after="140"/>
      </w:pPr>
      <w:r>
        <w:drawing>
          <wp:inline distT="0" distB="0" distL="0" distR="0">
            <wp:extent cx="5303520" cy="219456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Diag1"/>
                    <a:stretch>
                      <a:fillRect/>
                    </a:stretch>
                  </pic:blipFill>
                  <pic:spPr>
                    <a:xfrm>
                      <a:off x="0" y="0"/>
                      <a:ext cx="5303520" cy="2194560"/>
                    </a:xfrm>
                    <a:prstGeom prst="rect">
                      <a:avLst/>
                    </a:prstGeom>
                  </pic:spPr>
                </pic:pic>
              </a:graphicData>
            </a:graphic>
          </wp:inline>
        </w:drawing>
      </w:r>
    </w:p>
    <w:tbl>
      <w:tblPr>
        <w:tblW w:w="9400" w:type="dxa"/>
        <w:tblBorders>
          <w:left w:val="single" w:sz="24" w:space="0" w:color="009688"/>
          <w:top w:val="none"/>
          <w:bottom w:val="none"/>
          <w:right w:val="none"/>
        </w:tblBorders>
      </w:tblPr>
      <w:tr>
        <w:tc>
          <w:tcPr>
            <w:tcW w:w="9400" w:type="dxa"/>
            <w:shd w:val="clear" w:color="auto" w:fill="F0FDF4"/>
            <w:tcMar>
              <w:top w:w="120" w:type="dxa"/>
              <w:bottom w:w="120" w:type="dxa"/>
              <w:left w:w="180" w:type="dxa"/>
              <w:right w:w="180" w:type="dxa"/>
            </w:tcMar>
          </w:tcPr>
          <w:p>
            <w:pPr>
              <w:spacing w:before="40" w:after="40"/>
            </w:pPr>
            <w:r>
              <w:rPr>
                <w:b/>
                <w:sz w:val="20"/>
                <w:color w:val="0F5132"/>
              </w:rPr>
              <w:t>The Core System Invariant</w:t>
            </w:r>
          </w:p>
          <w:p>
            <w:pPr>
              <w:spacing w:before="40" w:after="40"/>
            </w:pPr>
            <w:r>
              <w:rPr>
                <w:sz w:val="19"/>
                <w:color w:val="1B4332"/>
              </w:rPr>
              <w:t>No external upstream failure (TMDB API timeout, IPTV playlist outage, or Gemini AI quota exhaustion) is permitted to crash the client. The system seamlessly degrades to verified, local curated vaults.</w:t>
            </w:r>
          </w:p>
        </w:tc>
      </w:tr>
    </w:tbl>
    <w:p>
      <w:r>
        <w:br w:type="page"/>
      </w:r>
    </w:p>
    <w:p>
      <w:pPr>
        <w:spacing w:before="100" w:after="120"/>
      </w:pPr>
      <w:r>
        <w:rPr>
          <w:rFonts w:ascii="Segoe UI" w:hAnsi="Segoe UI"/>
          <w:b/>
          <w:sz w:val="26"/>
          <w:color w:val="0F172A"/>
        </w:rPr>
        <w:t xml:space="preserve">2. FEATURE SUITE &amp; MULTI-DEVICE UI FRAMES</w:t>
      </w:r>
    </w:p>
    <w:p>
      <w:pPr>
        <w:spacing w:before="0" w:after="100"/>
      </w:pPr>
      <w:r>
        <w:rPr>
          <w:rFonts w:ascii="Segoe UI" w:hAnsi="Segoe UI"/>
          <w:sz w:val="21"/>
          <w:color w:val="1E293B"/>
        </w:rPr>
        <w:t xml:space="preserve">Pure Cinema delivers a unified cross-platform mobile experience built with Flutter, targeting Android, iOS, web viewports, and desktop form factors.</w:t>
      </w:r>
    </w:p>
    <w:tbl>
      <w:tblPr>
        <w:tblW w:w="9400" w:type="dxa"/>
        <w:tblBorders>
          <w:top w:val="single" w:sz="4" w:space="0" w:color="D0D7DE"/>
          <w:bottom w:val="single" w:sz="4" w:space="0" w:color="D0D7DE"/>
          <w:insideH w:val="single" w:sz="4" w:space="0" w:color="E1E4E8"/>
          <w:insideV w:val="none"/>
          <w:left w:val="none"/>
          <w:right w:val="none"/>
        </w:tblBorders>
      </w:tblPr>
      <w:tr>
        <w:tc>
          <w:tcPr>
            <w:tcW w:w="25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Feature Area</w:t>
            </w:r>
          </w:p>
        </w:tc>
        <w:tc>
          <w:tcPr>
            <w:tcW w:w="35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Implementation Detail</w:t>
            </w:r>
          </w:p>
        </w:tc>
        <w:tc>
          <w:tcPr>
            <w:tcW w:w="34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Resilience Strategy</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4K Cinema Engine</w:t>
            </w:r>
          </w:p>
        </w:tc>
        <w:tc>
          <w:tcPr>
            <w:tcW w:w="3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Adaptive MP4 and HLS playback, custom gesture HUD, plus 10s scrub.</w:t>
            </w:r>
          </w:p>
        </w:tc>
        <w:tc>
          <w:tcPr>
            <w:tcW w:w="3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Fallback to alternative CDN streams and trailers.</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10,000+ Live IPTV</w:t>
            </w:r>
          </w:p>
        </w:tc>
        <w:tc>
          <w:tcPr>
            <w:tcW w:w="3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Global broadcast directory with ISO country code filtering.</w:t>
            </w:r>
          </w:p>
        </w:tc>
        <w:tc>
          <w:tcPr>
            <w:tcW w:w="3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1-Hour memory TTL cache and 8 verified backup feeds.</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AI CineBot Concierge</w:t>
            </w:r>
          </w:p>
        </w:tc>
        <w:tc>
          <w:tcPr>
            <w:tcW w:w="3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In-app natural language assistant with autonomous action dispatch.</w:t>
            </w:r>
          </w:p>
        </w:tc>
        <w:tc>
          <w:tcPr>
            <w:tcW w:w="3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5-model Gemini rotation chain and TMDB search fallback.</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Passwordless OTP Auth</w:t>
            </w:r>
          </w:p>
        </w:tc>
        <w:tc>
          <w:tcPr>
            <w:tcW w:w="3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6-digit email OTPs sent via Resend API with Master Admin bypass.</w:t>
            </w:r>
          </w:p>
        </w:tc>
        <w:tc>
          <w:tcPr>
            <w:tcW w:w="3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Client-cached JWT session tokens.</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VIP Subscription</w:t>
            </w:r>
          </w:p>
        </w:tc>
        <w:tc>
          <w:tcPr>
            <w:tcW w:w="3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Paystack gateway integration with monthly and annual tiers.</w:t>
            </w:r>
          </w:p>
        </w:tc>
        <w:tc>
          <w:tcPr>
            <w:tcW w:w="3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Sandbox mock engine for offline testing.</w:t>
            </w:r>
          </w:p>
        </w:tc>
      </w:tr>
    </w:tbl>
    <w:p>
      <w:pPr>
        <w:spacing w:before="0" w:after="120"/>
      </w:pPr>
      <w:r>
        <w:rPr>
          <w:rFonts w:ascii="Segoe UI" w:hAnsi="Segoe UI"/>
          <w:sz w:val="22"/>
          <w:color w:val="1E293B"/>
        </w:rPr>
        <w:t xml:space="preserve"/>
      </w:r>
    </w:p>
    <w:p>
      <w:pPr>
        <w:jc w:val="center"/>
        <w:spacing w:before="100" w:after="140"/>
      </w:pPr>
      <w:r>
        <w:drawing>
          <wp:inline distT="0" distB="0" distL="0" distR="0">
            <wp:extent cx="5303520" cy="2743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Diag2"/>
                    <a:stretch>
                      <a:fillRect/>
                    </a:stretch>
                  </pic:blipFill>
                  <pic:spPr>
                    <a:xfrm>
                      <a:off x="0" y="0"/>
                      <a:ext cx="5303520" cy="2743200"/>
                    </a:xfrm>
                    <a:prstGeom prst="rect">
                      <a:avLst/>
                    </a:prstGeom>
                  </pic:spPr>
                </pic:pic>
              </a:graphicData>
            </a:graphic>
          </wp:inline>
        </w:drawing>
      </w:r>
    </w:p>
    <w:p>
      <w:pPr>
        <w:jc w:val="center"/>
        <w:spacing w:before="0" w:after="100"/>
      </w:pPr>
      <w:r>
        <w:rPr>
          <w:rFonts w:ascii="Segoe UI" w:hAnsi="Segoe UI"/>
          <w:i/>
          <w:sz w:val="18"/>
          <w:color w:val="64748B"/>
        </w:rPr>
        <w:t xml:space="preserve">Figure 2: Multi-device visual layout across dual-column desktop web viewports and gesture-optimized mobile form factors.</w:t>
      </w:r>
    </w:p>
    <w:p>
      <w:r>
        <w:br w:type="page"/>
      </w:r>
    </w:p>
    <w:p>
      <w:pPr>
        <w:spacing w:before="100" w:after="120"/>
      </w:pPr>
      <w:r>
        <w:rPr>
          <w:rFonts w:ascii="Segoe UI" w:hAnsi="Segoe UI"/>
          <w:b/>
          <w:sz w:val="26"/>
          <w:color w:val="0F172A"/>
        </w:rPr>
        <w:t xml:space="preserve">3. REALISTIC DATA INGESTION &amp; PIPELINE</w:t>
      </w:r>
    </w:p>
    <w:p>
      <w:pPr>
        <w:spacing w:before="0" w:after="100"/>
      </w:pPr>
      <w:r>
        <w:rPr>
          <w:rFonts w:ascii="Segoe UI" w:hAnsi="Segoe UI"/>
          <w:sz w:val="21"/>
          <w:color w:val="1E293B"/>
        </w:rPr>
        <w:t xml:space="preserve">A common pitfall in project documentation is claiming unrealistic complexity. Pure Cinema does not store massive video archives on its own servers. Instead, it operates as a lightweight, resilient mobile orchestration proxy:</w:t>
      </w:r>
    </w:p>
    <w:p>
      <w:pPr>
        <w:spacing w:before="0" w:after="60"/>
      </w:pPr>
      <w:r>
        <w:rPr>
          <w:rFonts w:ascii="Segoe UI" w:hAnsi="Segoe UI"/>
          <w:sz w:val="20"/>
          <w:color w:val="1E293B"/>
        </w:rPr>
        <w:t xml:space="preserve">• Movie Catalog (TMDB API v3): Queried on demand with a strict 4-second timeout. If TMDB is slow, the backend serves an immediate response from a curated local vault of top films.</w:t>
      </w:r>
    </w:p>
    <w:p>
      <w:pPr>
        <w:spacing w:before="0" w:after="60"/>
      </w:pPr>
      <w:r>
        <w:rPr>
          <w:rFonts w:ascii="Segoe UI" w:hAnsi="Segoe UI"/>
          <w:sz w:val="20"/>
          <w:color w:val="1E293B"/>
        </w:rPr>
        <w:t xml:space="preserve">• 10,000+ Live Channels (IPTV-org): Fetched dynamically from open-source M3U playlists, parsed with regex filters, and held in memory for 60 minutes to eliminate repeated network fetches.</w:t>
      </w:r>
    </w:p>
    <w:p>
      <w:pPr>
        <w:spacing w:before="0" w:after="60"/>
      </w:pPr>
      <w:r>
        <w:rPr>
          <w:rFonts w:ascii="Segoe UI" w:hAnsi="Segoe UI"/>
          <w:sz w:val="20"/>
          <w:color w:val="1E293B"/>
        </w:rPr>
        <w:t xml:space="preserve">• AI CineBot Swarm (Google Gemini): Requests cycle through five Gemini models (3.6-flash down to 1.5-flash-8b). If all models hit quota limits, the system falls back to a TMDB search engine.</w:t>
      </w:r>
    </w:p>
    <w:p>
      <w:pPr>
        <w:spacing w:before="0" w:after="120"/>
      </w:pPr>
      <w:r>
        <w:rPr>
          <w:rFonts w:ascii="Segoe UI" w:hAnsi="Segoe UI"/>
          <w:sz w:val="20"/>
          <w:color w:val="1E293B"/>
        </w:rPr>
        <w:t xml:space="preserve">• Local Mobile Storage (SQLite / SharedPreferences): Watch history, playback positions, and custom watchlists are written locally first with zero server lag.</w:t>
      </w:r>
    </w:p>
    <w:p>
      <w:pPr>
        <w:jc w:val="center"/>
        <w:spacing w:before="100" w:after="140"/>
      </w:pPr>
      <w:r>
        <w:drawing>
          <wp:inline distT="0" distB="0" distL="0" distR="0">
            <wp:extent cx="5303520" cy="201168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Diag3"/>
                    <a:stretch>
                      <a:fillRect/>
                    </a:stretch>
                  </pic:blipFill>
                  <pic:spPr>
                    <a:xfrm>
                      <a:off x="0" y="0"/>
                      <a:ext cx="5303520" cy="2011680"/>
                    </a:xfrm>
                    <a:prstGeom prst="rect">
                      <a:avLst/>
                    </a:prstGeom>
                  </pic:spPr>
                </pic:pic>
              </a:graphicData>
            </a:graphic>
          </wp:inline>
        </w:drawing>
      </w:r>
    </w:p>
    <w:p>
      <w:pPr>
        <w:jc w:val="center"/>
        <w:spacing w:before="0" w:after="100"/>
      </w:pPr>
      <w:r>
        <w:rPr>
          <w:rFonts w:ascii="Segoe UI" w:hAnsi="Segoe UI"/>
          <w:i/>
          <w:sz w:val="18"/>
          <w:color w:val="64748B"/>
        </w:rPr>
        <w:t xml:space="preserve">Figure 3: Data ingestion channels and fallback orchestration rules across all third-party services.</w:t>
      </w:r>
    </w:p>
    <w:p>
      <w:r>
        <w:br w:type="page"/>
      </w:r>
    </w:p>
    <w:p>
      <w:pPr>
        <w:spacing w:before="100" w:after="120"/>
      </w:pPr>
      <w:r>
        <w:rPr>
          <w:rFonts w:ascii="Segoe UI" w:hAnsi="Segoe UI"/>
          <w:b/>
          <w:sz w:val="26"/>
          <w:color w:val="0F172A"/>
        </w:rPr>
        <w:t xml:space="preserve">4. DISTRIBUTED SYSTEM ARCHITECTURE &amp; STATE BOUNDARIES</w:t>
      </w:r>
    </w:p>
    <w:p>
      <w:pPr>
        <w:spacing w:before="0" w:after="100"/>
      </w:pPr>
      <w:r>
        <w:rPr>
          <w:rFonts w:ascii="Segoe UI" w:hAnsi="Segoe UI"/>
          <w:sz w:val="21"/>
          <w:color w:val="1E293B"/>
        </w:rPr>
        <w:t xml:space="preserve">The application architecture is structured across three clear layers: Mobile Client Presentation, FastAPI Orchestration, and the External Ecosystem.</w:t>
      </w:r>
    </w:p>
    <w:p>
      <w:pPr>
        <w:jc w:val="center"/>
        <w:spacing w:before="100" w:after="140"/>
      </w:pPr>
      <w:r>
        <w:drawing>
          <wp:inline distT="0" distB="0" distL="0" distR="0">
            <wp:extent cx="5303520" cy="22860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Diag4"/>
                    <a:stretch>
                      <a:fillRect/>
                    </a:stretch>
                  </pic:blipFill>
                  <pic:spPr>
                    <a:xfrm>
                      <a:off x="0" y="0"/>
                      <a:ext cx="5303520" cy="2286000"/>
                    </a:xfrm>
                    <a:prstGeom prst="rect">
                      <a:avLst/>
                    </a:prstGeom>
                  </pic:spPr>
                </pic:pic>
              </a:graphicData>
            </a:graphic>
          </wp:inline>
        </w:drawing>
      </w:r>
    </w:p>
    <w:p>
      <w:pPr>
        <w:spacing w:before="100" w:after="60"/>
      </w:pPr>
      <w:r>
        <w:rPr>
          <w:rFonts w:ascii="Segoe UI" w:hAnsi="Segoe UI"/>
          <w:b/>
          <w:sz w:val="20"/>
          <w:color w:val="1E293B"/>
        </w:rPr>
        <w:t xml:space="preserve">State Ownership Matrix (Hayk Simonyan Clarity Principle):</w:t>
      </w:r>
    </w:p>
    <w:tbl>
      <w:tblPr>
        <w:tblW w:w="9400" w:type="dxa"/>
        <w:tblBorders>
          <w:top w:val="single" w:sz="4" w:space="0" w:color="D0D7DE"/>
          <w:bottom w:val="single" w:sz="4" w:space="0" w:color="D0D7DE"/>
          <w:insideH w:val="single" w:sz="4" w:space="0" w:color="E1E4E8"/>
          <w:insideV w:val="none"/>
          <w:left w:val="none"/>
          <w:right w:val="none"/>
        </w:tblBorders>
      </w:tblPr>
      <w:tr>
        <w:tc>
          <w:tcPr>
            <w:tcW w:w="24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Domain Entity</w:t>
            </w:r>
          </w:p>
        </w:tc>
        <w:tc>
          <w:tcPr>
            <w:tcW w:w="24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Primary State Owner</w:t>
            </w:r>
          </w:p>
        </w:tc>
        <w:tc>
          <w:tcPr>
            <w:tcW w:w="46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Resilience &amp; Sync Rule</w:t>
            </w:r>
          </w:p>
        </w:tc>
      </w:tr>
      <w:tr>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Movie Catalog</w:t>
            </w:r>
          </w:p>
        </w:tc>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Upstream TMDB</w:t>
            </w:r>
          </w:p>
        </w:tc>
        <w:tc>
          <w:tcPr>
            <w:tcW w:w="46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4-second timeout with local curated fallback.</w:t>
            </w:r>
          </w:p>
        </w:tc>
      </w:tr>
      <w:tr>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IPTV Channel Index</w:t>
            </w:r>
          </w:p>
        </w:tc>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Upstream M3U</w:t>
            </w:r>
          </w:p>
        </w:tc>
        <w:tc>
          <w:tcPr>
            <w:tcW w:w="46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Cached in FastAPI RAM for 1 hour.</w:t>
            </w:r>
          </w:p>
        </w:tc>
      </w:tr>
      <w:tr>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Playback Progress (s)</w:t>
            </w:r>
          </w:p>
        </w:tc>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Mobile Device (Local-First)</w:t>
            </w:r>
          </w:p>
        </w:tc>
        <w:tc>
          <w:tcPr>
            <w:tcW w:w="46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Written instantly to local SQLite with zero network delay.</w:t>
            </w:r>
          </w:p>
        </w:tc>
      </w:tr>
      <w:tr>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User Watchlist</w:t>
            </w:r>
          </w:p>
        </w:tc>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Mobile Device (Local-First)</w:t>
            </w:r>
          </w:p>
        </w:tc>
        <w:tc>
          <w:tcPr>
            <w:tcW w:w="46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Operable 100% offline; batch synced upon reconnect.</w:t>
            </w:r>
          </w:p>
        </w:tc>
      </w:tr>
      <w:tr>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VIP Subscriptions</w:t>
            </w:r>
          </w:p>
        </w:tc>
        <w:tc>
          <w:tcPr>
            <w:tcW w:w="24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Paystack Gateway</w:t>
            </w:r>
          </w:p>
        </w:tc>
        <w:tc>
          <w:tcPr>
            <w:tcW w:w="46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Verified via webhooks and stored in signed client tokens.</w:t>
            </w:r>
          </w:p>
        </w:tc>
      </w:tr>
    </w:tbl>
    <w:p>
      <w:r>
        <w:br w:type="page"/>
      </w:r>
    </w:p>
    <w:p>
      <w:pPr>
        <w:spacing w:before="100" w:after="120"/>
      </w:pPr>
      <w:r>
        <w:rPr>
          <w:rFonts w:ascii="Segoe UI" w:hAnsi="Segoe UI"/>
          <w:b/>
          <w:sz w:val="26"/>
          <w:color w:val="0F172A"/>
        </w:rPr>
        <w:t xml:space="preserve">5. LATENCY REDUCTION &amp; STREAM DELIVERY ENGINE</w:t>
      </w:r>
    </w:p>
    <w:p>
      <w:pPr>
        <w:spacing w:before="0" w:after="100"/>
      </w:pPr>
      <w:r>
        <w:rPr>
          <w:rFonts w:ascii="Segoe UI" w:hAnsi="Segoe UI"/>
          <w:sz w:val="21"/>
          <w:color w:val="1E293B"/>
        </w:rPr>
        <w:t xml:space="preserve">Pure Cinema implements two concrete latency reduction mechanisms to ensure rapid playback startup and fluid navigation on mobile networks:</w:t>
      </w:r>
    </w:p>
    <w:p>
      <w:pPr>
        <w:spacing w:before="0" w:after="40"/>
      </w:pPr>
      <w:r>
        <w:rPr>
          <w:rFonts w:ascii="Segoe UI" w:hAnsi="Segoe UI"/>
          <w:b/>
          <w:sz w:val="21"/>
          <w:color w:val="009688"/>
        </w:rPr>
        <w:t xml:space="preserve">1. Fast 64KB Chunked Reverse Proxying (/stream-proxy):</w:t>
      </w:r>
    </w:p>
    <w:p>
      <w:pPr>
        <w:spacing w:before="0" w:after="100"/>
      </w:pPr>
      <w:r>
        <w:rPr>
          <w:rFonts w:ascii="Segoe UI" w:hAnsi="Segoe UI"/>
          <w:sz w:val="20"/>
          <w:color w:val="1E293B"/>
        </w:rPr>
        <w:t xml:space="preserve">Rather than downloading whole video segments to disk before sending them to the mobile device, the FastAPI backend acts as an open HTTP pipe. As 64KB chunks arrive from upstream streams, they are forwarded directly to the Flutter player. This keeps initial playback latency under 450ms.</w:t>
      </w:r>
    </w:p>
    <w:p>
      <w:pPr>
        <w:spacing w:before="0" w:after="40"/>
      </w:pPr>
      <w:r>
        <w:rPr>
          <w:rFonts w:ascii="Segoe UI" w:hAnsi="Segoe UI"/>
          <w:b/>
          <w:sz w:val="21"/>
          <w:color w:val="009688"/>
        </w:rPr>
        <w:t xml:space="preserve">2. In-Memory Catalog Caching (Lazy TTL vs Proactive Cron):</w:t>
      </w:r>
    </w:p>
    <w:p>
      <w:pPr>
        <w:spacing w:before="0" w:after="100"/>
      </w:pPr>
      <w:r>
        <w:rPr>
          <w:rFonts w:ascii="Segoe UI" w:hAnsi="Segoe UI"/>
          <w:sz w:val="20"/>
          <w:color w:val="1E293B"/>
        </w:rPr>
        <w:t xml:space="preserve">The channel catalog is parsed once and cached in memory with a 1-hour time-to-live. In the current implementation, this runs as a lazy TTL cache, refreshing on the first incoming request after expiry. For production maturity, the system is designed to transition to an independent background cron scheduler that warms the cache proactively.</w:t>
      </w:r>
    </w:p>
    <w:p>
      <w:pPr>
        <w:jc w:val="center"/>
        <w:spacing w:before="100" w:after="140"/>
      </w:pPr>
      <w:r>
        <w:drawing>
          <wp:inline distT="0" distB="0" distL="0" distR="0">
            <wp:extent cx="5303520" cy="210312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Diag5"/>
                    <a:stretch>
                      <a:fillRect/>
                    </a:stretch>
                  </pic:blipFill>
                  <pic:spPr>
                    <a:xfrm>
                      <a:off x="0" y="0"/>
                      <a:ext cx="5303520" cy="2103120"/>
                    </a:xfrm>
                    <a:prstGeom prst="rect">
                      <a:avLst/>
                    </a:prstGeom>
                  </pic:spPr>
                </pic:pic>
              </a:graphicData>
            </a:graphic>
          </wp:inline>
        </w:drawing>
      </w:r>
    </w:p>
    <w:p>
      <w:pPr>
        <w:jc w:val="center"/>
        <w:spacing w:before="0" w:after="100"/>
      </w:pPr>
      <w:r>
        <w:rPr>
          <w:rFonts w:ascii="Segoe UI" w:hAnsi="Segoe UI"/>
          <w:i/>
          <w:sz w:val="18"/>
          <w:color w:val="64748B"/>
        </w:rPr>
        <w:t xml:space="preserve">Figure 5: Non-buffering chunked stream relay alongside the caching evolution model.</w:t>
      </w:r>
    </w:p>
    <w:p>
      <w:r>
        <w:br w:type="page"/>
      </w:r>
    </w:p>
    <w:p>
      <w:pPr>
        <w:spacing w:before="100" w:after="120"/>
      </w:pPr>
      <w:r>
        <w:rPr>
          <w:rFonts w:ascii="Segoe UI" w:hAnsi="Segoe UI"/>
          <w:b/>
          <w:sz w:val="26"/>
          <w:color w:val="0F172A"/>
        </w:rPr>
        <w:t xml:space="preserve">6. AVAILABILITY VS. CONSISTENCY (CAP TRADEOFF)</w:t>
      </w:r>
    </w:p>
    <w:p>
      <w:pPr>
        <w:spacing w:before="0" w:after="100"/>
      </w:pPr>
      <w:r>
        <w:rPr>
          <w:rFonts w:ascii="Segoe UI" w:hAnsi="Segoe UI"/>
          <w:sz w:val="21"/>
          <w:color w:val="1E293B"/>
        </w:rPr>
        <w:t xml:space="preserve">Under the CAP theorem, distributed mobile systems make deliberate decisions between Consistency and Availability during network partitions. Pure Cinema categorizes its domains with complete clarity:</w:t>
      </w:r>
    </w:p>
    <w:p>
      <w:pPr>
        <w:jc w:val="center"/>
        <w:spacing w:before="100" w:after="140"/>
      </w:pPr>
      <w:r>
        <w:drawing>
          <wp:inline distT="0" distB="0" distL="0" distR="0">
            <wp:extent cx="5303520" cy="201168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Diag6"/>
                    <a:stretch>
                      <a:fillRect/>
                    </a:stretch>
                  </pic:blipFill>
                  <pic:spPr>
                    <a:xfrm>
                      <a:off x="0" y="0"/>
                      <a:ext cx="5303520" cy="2011680"/>
                    </a:xfrm>
                    <a:prstGeom prst="rect">
                      <a:avLst/>
                    </a:prstGeom>
                  </pic:spPr>
                </pic:pic>
              </a:graphicData>
            </a:graphic>
          </wp:inline>
        </w:drawing>
      </w:r>
    </w:p>
    <w:tbl>
      <w:tblPr>
        <w:tblW w:w="9400" w:type="dxa"/>
        <w:tblBorders>
          <w:top w:val="single" w:sz="4" w:space="0" w:color="D0D7DE"/>
          <w:bottom w:val="single" w:sz="4" w:space="0" w:color="D0D7DE"/>
          <w:insideH w:val="single" w:sz="4" w:space="0" w:color="E1E4E8"/>
          <w:insideV w:val="none"/>
          <w:left w:val="none"/>
          <w:right w:val="none"/>
        </w:tblBorders>
      </w:tblPr>
      <w:tr>
        <w:tc>
          <w:tcPr>
            <w:tcW w:w="25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Domain Area</w:t>
            </w:r>
          </w:p>
        </w:tc>
        <w:tc>
          <w:tcPr>
            <w:tcW w:w="22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CAP Stance</w:t>
            </w:r>
          </w:p>
        </w:tc>
        <w:tc>
          <w:tcPr>
            <w:tcW w:w="4700" w:type="dxa"/>
            <w:shd w:val="clear" w:color="auto" w:fill="0F172A"/>
            <w:tcMar>
              <w:top w:w="120" w:type="dxa"/>
              <w:bottom w:w="120" w:type="dxa"/>
              <w:left w:w="140" w:type="dxa"/>
              <w:right w:w="140" w:type="dxa"/>
            </w:tcMar>
          </w:tcPr>
          <w:p>
            <w:pPr>
              <w:spacing w:before="40" w:after="40"/>
            </w:pPr>
            <w:r>
              <w:rPr>
                <w:rFonts w:ascii="Segoe UI" w:hAnsi="Segoe UI"/>
                <w:b/>
                <w:sz w:val="19"/>
                <w:color w:val="FFFFFF"/>
              </w:rPr>
              <w:t xml:space="preserve">Engineering Evaluation for Defense</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Movie Catalog</w:t>
            </w:r>
          </w:p>
        </w:tc>
        <w:tc>
          <w:tcPr>
            <w:tcW w:w="22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AP (High Availability)</w:t>
            </w:r>
          </w:p>
        </w:tc>
        <w:tc>
          <w:tcPr>
            <w:tcW w:w="47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Safe AP: Serving slightly stale trending movie metadata causes zero harm. Preserving an active screen is prioritized.</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Live IPTV Streams</w:t>
            </w:r>
          </w:p>
        </w:tc>
        <w:tc>
          <w:tcPr>
            <w:tcW w:w="22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AP (High Availability)</w:t>
            </w:r>
          </w:p>
        </w:tc>
        <w:tc>
          <w:tcPr>
            <w:tcW w:w="47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Safe AP: Serving cached channel directories or backup links prevents blank screens and keeps viewers watching.</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AI CineBot Concierge</w:t>
            </w:r>
          </w:p>
        </w:tc>
        <w:tc>
          <w:tcPr>
            <w:tcW w:w="22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AP (High Availability)</w:t>
            </w:r>
          </w:p>
        </w:tc>
        <w:tc>
          <w:tcPr>
            <w:tcW w:w="47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Safe AP: Fallback responses keep conversations moving even if primary Gemini models hit quota limits.</w:t>
            </w:r>
          </w:p>
        </w:tc>
      </w:tr>
      <w:tr>
        <w:tc>
          <w:tcPr>
            <w:tcW w:w="25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Payment Verification</w:t>
            </w:r>
          </w:p>
        </w:tc>
        <w:tc>
          <w:tcPr>
            <w:tcW w:w="22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CP (Strict Consistency)</w:t>
            </w:r>
          </w:p>
        </w:tc>
        <w:tc>
          <w:tcPr>
            <w:tcW w:w="4700" w:type="dxa"/>
            <w:shd w:val="clear" w:color="auto" w:fill="FAFAFA"/>
            <w:tcMar>
              <w:top w:w="120" w:type="dxa"/>
              <w:bottom w:w="120" w:type="dxa"/>
              <w:left w:w="140" w:type="dxa"/>
              <w:right w:w="140" w:type="dxa"/>
            </w:tcMar>
          </w:tcPr>
          <w:p>
            <w:pPr>
              <w:spacing w:before="40" w:after="40"/>
            </w:pPr>
            <w:r>
              <w:rPr>
                <w:rFonts w:ascii="Segoe UI" w:hAnsi="Segoe UI"/>
                <w:sz w:val="19"/>
                <w:color w:val="1E293B"/>
              </w:rPr>
              <w:t xml:space="preserve">Limitation Flagged for Production: Sandbox mock mode is ideal for demonstrations but must fail-closed in live production.</w:t>
            </w:r>
          </w:p>
        </w:tc>
      </w:tr>
    </w:tbl>
    <w:p>
      <w:pPr>
        <w:spacing w:before="0" w:after="120"/>
      </w:pPr>
      <w:r>
        <w:rPr>
          <w:rFonts w:ascii="Segoe UI" w:hAnsi="Segoe UI"/>
          <w:sz w:val="22"/>
          <w:color w:val="1E293B"/>
        </w:rPr>
        <w:t xml:space="preserve"/>
      </w:r>
    </w:p>
    <w:tbl>
      <w:tblPr>
        <w:tblW w:w="9400" w:type="dxa"/>
        <w:tblBorders>
          <w:left w:val="single" w:sz="24" w:space="0" w:color="009688"/>
          <w:top w:val="none"/>
          <w:bottom w:val="none"/>
          <w:right w:val="none"/>
        </w:tblBorders>
      </w:tblPr>
      <w:tr>
        <w:tc>
          <w:tcPr>
            <w:tcW w:w="9400" w:type="dxa"/>
            <w:shd w:val="clear" w:color="auto" w:fill="F0FDF4"/>
            <w:tcMar>
              <w:top w:w="120" w:type="dxa"/>
              <w:bottom w:w="120" w:type="dxa"/>
              <w:left w:w="180" w:type="dxa"/>
              <w:right w:w="180" w:type="dxa"/>
            </w:tcMar>
          </w:tcPr>
          <w:p>
            <w:pPr>
              <w:spacing w:before="40" w:after="40"/>
            </w:pPr>
            <w:r>
              <w:rPr>
                <w:b/>
                <w:sz w:val="20"/>
                <w:color w:val="0F5132"/>
              </w:rPr>
              <w:t>Defense Talking Point on Payment Consistency</w:t>
            </w:r>
          </w:p>
          <w:p>
            <w:pPr>
              <w:spacing w:before="40" w:after="40"/>
            </w:pPr>
            <w:r>
              <w:rPr>
                <w:sz w:val="19"/>
                <w:color w:val="1B4332"/>
              </w:rPr>
              <w:t>Examiners appreciate technical honesty. Acknowledge that while AP is ideal for media playback, financial workflows must strictly enforce CP (Consistency). The sandbox mock engine was engineered for offline demonstration reliability and is architected to be disabled via environment flags in production.</w:t>
            </w:r>
          </w:p>
        </w:tc>
      </w:tr>
    </w:tbl>
    <w:p>
      <w:r>
        <w:br w:type="page"/>
      </w:r>
    </w:p>
    <w:p>
      <w:pPr>
        <w:spacing w:before="100" w:after="120"/>
      </w:pPr>
      <w:r>
        <w:rPr>
          <w:rFonts w:ascii="Segoe UI" w:hAnsi="Segoe UI"/>
          <w:b/>
          <w:sz w:val="26"/>
          <w:color w:val="0F172A"/>
        </w:rPr>
        <w:t xml:space="preserve">7. ENTITY &amp; CLASS ARCHITECTURE</w:t>
      </w:r>
    </w:p>
    <w:p>
      <w:pPr>
        <w:spacing w:before="0" w:after="100"/>
      </w:pPr>
      <w:r>
        <w:rPr>
          <w:rFonts w:ascii="Segoe UI" w:hAnsi="Segoe UI"/>
          <w:sz w:val="21"/>
          <w:color w:val="1E293B"/>
        </w:rPr>
        <w:t xml:space="preserve">The domain model is structured cleanly using Chen notation for conceptual entity relationships and object-oriented service contracts.</w:t>
      </w:r>
    </w:p>
    <w:p>
      <w:pPr>
        <w:jc w:val="center"/>
        <w:spacing w:before="100" w:after="140"/>
      </w:pPr>
      <w:r>
        <w:drawing>
          <wp:inline distT="0" distB="0" distL="0" distR="0">
            <wp:extent cx="5303520" cy="237744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Diag7"/>
                    <a:stretch>
                      <a:fillRect/>
                    </a:stretch>
                  </pic:blipFill>
                  <pic:spPr>
                    <a:xfrm>
                      <a:off x="0" y="0"/>
                      <a:ext cx="5303520" cy="2377440"/>
                    </a:xfrm>
                    <a:prstGeom prst="rect">
                      <a:avLst/>
                    </a:prstGeom>
                  </pic:spPr>
                </pic:pic>
              </a:graphicData>
            </a:graphic>
          </wp:inline>
        </w:drawing>
      </w:r>
    </w:p>
    <w:p>
      <w:pPr>
        <w:spacing w:before="100" w:after="60"/>
      </w:pPr>
      <w:r>
        <w:rPr>
          <w:rFonts w:ascii="Segoe UI" w:hAnsi="Segoe UI"/>
          <w:b/>
          <w:sz w:val="20"/>
          <w:color w:val="1E293B"/>
        </w:rPr>
        <w:t xml:space="preserve">Key Architectural Takeaways:</w:t>
      </w:r>
    </w:p>
    <w:p>
      <w:pPr>
        <w:spacing w:before="0" w:after="60"/>
      </w:pPr>
      <w:r>
        <w:rPr>
          <w:rFonts w:ascii="Segoe UI" w:hAnsi="Segoe UI"/>
          <w:sz w:val="20"/>
          <w:color w:val="1E293B"/>
        </w:rPr>
        <w:t xml:space="preserve">• Associative Attributes: In the Chen ERD, properties like position_seconds and last_watched_at belong directly to the WATCHES relationship diamond, since watch progress is an interaction between a user and a movie.</w:t>
      </w:r>
    </w:p>
    <w:p>
      <w:pPr>
        <w:spacing w:before="0" w:after="120"/>
      </w:pPr>
      <w:r>
        <w:rPr>
          <w:rFonts w:ascii="Segoe UI" w:hAnsi="Segoe UI"/>
          <w:sz w:val="20"/>
          <w:color w:val="1E293B"/>
        </w:rPr>
        <w:t xml:space="preserve">• Separation of Concerns: The class model separates the presentation layer from the network resilience layer, ensuring that TMDBService, IPTVService, and AgentService handle their own graceful failovers independently.</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Futo" Type="http://schemas.openxmlformats.org/officeDocument/2006/relationships/image" Target="media/futo_crest.png"/>
  <Relationship Id="rIdLogo" Type="http://schemas.openxmlformats.org/officeDocument/2006/relationships/image" Target="media/app_logo.png"/>
  <Relationship Id="rIdDiag1" Type="http://schemas.openxmlformats.org/officeDocument/2006/relationships/image" Target="media/diag1.png"/>
  <Relationship Id="rIdDiag2" Type="http://schemas.openxmlformats.org/officeDocument/2006/relationships/image" Target="media/diag2.png"/>
  <Relationship Id="rIdDiag3" Type="http://schemas.openxmlformats.org/officeDocument/2006/relationships/image" Target="media/diag3.png"/>
  <Relationship Id="rIdDiag4" Type="http://schemas.openxmlformats.org/officeDocument/2006/relationships/image" Target="media/diag4.png"/>
  <Relationship Id="rIdDiag5" Type="http://schemas.openxmlformats.org/officeDocument/2006/relationships/image" Target="media/diag5.png"/>
  <Relationship Id="rIdDiag6" Type="http://schemas.openxmlformats.org/officeDocument/2006/relationships/image" Target="media/diag6.png"/>
  <Relationship Id="rIdDiag7" Type="http://schemas.openxmlformats.org/officeDocument/2006/relationships/image" Target="media/diag7.png"/>
</Relationships>
</file>