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05-10-2025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Termino de diagramas y codificación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decimoséxta reunión se habló de los términos de diagramas a realizar y empezar de nuevo con el avance de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112.0" w:type="dxa"/>
        <w:tblLayout w:type="fixed"/>
        <w:tblLook w:val="0000"/>
      </w:tblPr>
      <w:tblGrid>
        <w:gridCol w:w="2970"/>
        <w:gridCol w:w="7350"/>
        <w:tblGridChange w:id="0">
          <w:tblGrid>
            <w:gridCol w:w="2970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Tratar de terminarlo.</w:t>
            </w:r>
          </w:p>
        </w:tc>
      </w:tr>
      <w:tr>
        <w:trPr>
          <w:cantSplit w:val="0"/>
          <w:trHeight w:val="106.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Avanzar.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99.00000000000034" w:tblpY="416.003906249999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-82532</wp:posOffset>
              </wp:positionH>
              <wp:positionV relativeFrom="paragraph">
                <wp:posOffset>-38081</wp:posOffset>
              </wp:positionV>
              <wp:extent cx="0" cy="1270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-82532</wp:posOffset>
              </wp:positionH>
              <wp:positionV relativeFrom="paragraph">
                <wp:posOffset>-38081</wp:posOffset>
              </wp:positionV>
              <wp:extent cx="0" cy="12700"/>
              <wp:effectExtent b="0" l="0" r="0" t="0"/>
              <wp:wrapNone/>
              <wp:docPr id="3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uudcbf+kIiqVmTKHvieXuMSN0g==">CgMxLjA4AHIhMXN2UXlHb2dmcmFneExtcTRNcFd3Rmp5REstVGwxWWNl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