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07-10-2025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faltantes.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decimoséptima reunión se habló de los diagramas terminados  y realizar documentos faltantes.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12.0" w:type="dxa"/>
        <w:tblLayout w:type="fixed"/>
        <w:tblLook w:val="0000"/>
      </w:tblPr>
      <w:tblGrid>
        <w:gridCol w:w="2970"/>
        <w:gridCol w:w="7350"/>
        <w:tblGridChange w:id="0">
          <w:tblGrid>
            <w:gridCol w:w="2970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faltantes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Terminar documentos faltantes.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99.00000000000034" w:tblpY="416.003906249999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DAS y documentos faltantes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-88881</wp:posOffset>
              </wp:positionH>
              <wp:positionV relativeFrom="paragraph">
                <wp:posOffset>-38080</wp:posOffset>
              </wp:positionV>
              <wp:extent cx="0" cy="1270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-88881</wp:posOffset>
              </wp:positionH>
              <wp:positionV relativeFrom="paragraph">
                <wp:posOffset>-38080</wp:posOffset>
              </wp:positionV>
              <wp:extent cx="0" cy="12700"/>
              <wp:effectExtent b="0" l="0" r="0" t="0"/>
              <wp:wrapNone/>
              <wp:docPr id="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VjJ3aJp1e+jj0PlTKMJKD1ATw==">CgMxLjA4AHIhMXZRQUo5Wm94NGJxVzdvanZZWXNiMkxPVVRvVnFXZk1m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