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con el documento DAS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decimoquinta reunión se habló más que nada del documento 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12.0" w:type="dxa"/>
        <w:tblLayout w:type="fixed"/>
        <w:tblLook w:val="0000"/>
      </w:tblPr>
      <w:tblGrid>
        <w:gridCol w:w="2970"/>
        <w:gridCol w:w="7350"/>
        <w:tblGridChange w:id="0">
          <w:tblGrid>
            <w:gridCol w:w="2970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avanzando</w:t>
            </w:r>
          </w:p>
        </w:tc>
      </w:tr>
      <w:tr>
        <w:trPr>
          <w:cantSplit w:val="0"/>
          <w:trHeight w:val="106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99.00000000000034" w:tblpY="416.003906249999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-76183</wp:posOffset>
              </wp:positionH>
              <wp:positionV relativeFrom="paragraph">
                <wp:posOffset>-38082</wp:posOffset>
              </wp:positionV>
              <wp:extent cx="0" cy="1270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-76183</wp:posOffset>
              </wp:positionH>
              <wp:positionV relativeFrom="paragraph">
                <wp:posOffset>-38082</wp:posOffset>
              </wp:positionV>
              <wp:extent cx="0" cy="12700"/>
              <wp:effectExtent b="0" l="0" r="0" t="0"/>
              <wp:wrapNone/>
              <wp:docPr id="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fp+FfoIjth7h7hd2cdJwNsWzA==">CgMxLjA4AHIhMVFGWTdCQm95WDdtRExzc19fcFI1My1KZWt5enVuNF9w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