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- 24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02-11-2025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 faltantes y codificación.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vigésima cuarta reunión con documento arreglado, seguimos con los diagramas que faltan, mientras otros codifican la web y mejoran errores.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Realizar diagramas</w:t>
            </w:r>
          </w:p>
        </w:tc>
      </w:tr>
      <w:tr>
        <w:trPr>
          <w:cantSplit w:val="0"/>
          <w:trHeight w:val="21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Codificación.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codificando página.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diagramas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9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-133322</wp:posOffset>
              </wp:positionH>
              <wp:positionV relativeFrom="paragraph">
                <wp:posOffset>-38071</wp:posOffset>
              </wp:positionV>
              <wp:extent cx="0" cy="12700"/>
              <wp:effectExtent b="0" l="0" r="0" t="0"/>
              <wp:wrapNone/>
              <wp:docPr id="4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-133322</wp:posOffset>
              </wp:positionH>
              <wp:positionV relativeFrom="paragraph">
                <wp:posOffset>-38071</wp:posOffset>
              </wp:positionV>
              <wp:extent cx="0" cy="12700"/>
              <wp:effectExtent b="0" l="0" r="0" t="0"/>
              <wp:wrapNone/>
              <wp:docPr id="4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5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F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GtelrRQKKDBPR4Br0zs96ilUJg==">CgMxLjA4AHIhMWVWbW5LdHNzYm5RMjEwZzhQWVlaVjZpODlfdWZzb2F0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