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Feedback revisado, Documentación y Codificación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trigésima reunión se habló de la documentación recibida por el equipo y el no atrasarse en ella. También una parte del equipo se centra en codificar.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Primeros avances de documentos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con la codificación de la web.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87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avance de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Seguir codificando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Buen trabajo de equipo en todo ámbito.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-171416</wp:posOffset>
              </wp:positionH>
              <wp:positionV relativeFrom="paragraph">
                <wp:posOffset>-38064</wp:posOffset>
              </wp:positionV>
              <wp:extent cx="0" cy="12700"/>
              <wp:effectExtent b="0" l="0" r="0" t="0"/>
              <wp:wrapNone/>
              <wp:docPr id="6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-171416</wp:posOffset>
              </wp:positionH>
              <wp:positionV relativeFrom="paragraph">
                <wp:posOffset>-38064</wp:posOffset>
              </wp:positionV>
              <wp:extent cx="0" cy="12700"/>
              <wp:effectExtent b="0" l="0" r="0" t="0"/>
              <wp:wrapNone/>
              <wp:docPr id="6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/zTSNyCRT9xo+lB23Zk2VOgvA==">CgMxLjA4AHIhMUZTOHJ6NmRndGZfRUFwNmhaSVB5aUZtQ1lrZnB2OHFh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