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interés profesional al inicio estaba orientado al desarrollo general de software. Tras realizar MascotaConectada, mis intereses 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enfocaron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más haci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arquitectura de software, backend avanzado y gestión de proyectos tecnológicos.</w:t>
            </w:r>
          </w:p>
          <w:p w:rsidR="00000000" w:rsidDel="00000000" w:rsidP="00000000" w:rsidRDefault="00000000" w:rsidRPr="00000000" w14:paraId="0000000B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influyó directamente, ya que me permitió trabajar con un sistema completo, modular, con requerimientos reales, lo que reafirmó mi preferencia por diseñar soluciones escalables y liderar la parte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4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aumentaron significativamente en: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arquitectónico (DAS, APIs).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backend–frontend.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 de decisiones técnicas.</w:t>
            </w:r>
          </w:p>
          <w:p w:rsidR="00000000" w:rsidDel="00000000" w:rsidP="00000000" w:rsidRDefault="00000000" w:rsidRPr="00000000" w14:paraId="00000018">
            <w:pPr>
              <w:spacing w:after="240" w:before="24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debilidades iniciales, especialmente la gestión del tiempo y la documentación extensa, se hicieron más visibles.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  <w:br w:type="textWrapping"/>
              <w:t xml:space="preserve">Seguir trabajando en proyectos complejos y estudiar patrones de diseño.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plicar metodologías de planificación más estrictas (Kanban, roadmap semanal) y practicar creación de documentación técnica con mayor anticipación.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bookmarkStart w:colFirst="0" w:colLast="0" w:name="_heading=h.2wv59aanwk2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ahora incluyen la meta de convertirme en desarrollador backend senior o arquitecto de software, participando en proyectos de alto impacto.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  <w:br w:type="textWrapping"/>
              <w:t xml:space="preserve">A cinco años, me imagino trabajando en una empresa tecnológica desarrollando plataformas escalables, integrando servicios distribuidos o liderando la arquitectura de un proyecto similar a MascotaConectada.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comunicación interna.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clara de roles técnicos.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 en las tareas asignadas.</w:t>
            </w:r>
          </w:p>
          <w:p w:rsidR="00000000" w:rsidDel="00000000" w:rsidP="00000000" w:rsidRDefault="00000000" w:rsidRPr="00000000" w14:paraId="00000028">
            <w:pPr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Aspectos negativos: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coordinación temporal pudo ser más estricta.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 ciclos de revisión se extendieron por falta de acuerdos tempranos.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organización semanal.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toma rápida de decisiones técnicas.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uso continuo de herramientas colaborativas para mantener trazabilidad.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DP6EQhUEV6wtkq/Q3rOlWjQiw==">CgMxLjAyDmguMnd2NTlhYW53azJxOAByITE5YlJRNjJJSkJKSEU0blVLS1poX2FLQ0ZYQkV3LXZ4Ng==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