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C207E" w14:textId="77777777" w:rsidR="005C54C5" w:rsidRDefault="00000000">
      <w:pPr>
        <w:spacing w:after="120"/>
        <w:jc w:val="center"/>
      </w:pPr>
      <w:r>
        <w:rPr>
          <w:rFonts w:ascii="Calibri" w:hAnsi="Calibri"/>
          <w:b/>
          <w:sz w:val="32"/>
        </w:rPr>
        <w:t>Complemento al informe sobre el Sistema de Gestión Municipal (SGM)</w:t>
      </w:r>
    </w:p>
    <w:p w14:paraId="66252D71" w14:textId="77777777" w:rsidR="005C54C5" w:rsidRDefault="00000000">
      <w:pPr>
        <w:pStyle w:val="Ttulo1"/>
      </w:pPr>
      <w:r>
        <w:rPr>
          <w:rFonts w:ascii="Calibri" w:hAnsi="Calibri"/>
        </w:rPr>
        <w:t>A) Estado actual del SGM, lo desarrollado, lo pendiente y las brechas detectadas</w:t>
      </w:r>
    </w:p>
    <w:p w14:paraId="3B4D2663" w14:textId="77777777" w:rsidR="005C54C5" w:rsidRDefault="00000000">
      <w:pPr>
        <w:spacing w:after="160"/>
      </w:pPr>
      <w:r>
        <w:rPr>
          <w:rFonts w:ascii="Calibri" w:hAnsi="Calibri"/>
        </w:rPr>
        <w:t xml:space="preserve">El SGM se construyó a partir de dos insumos principales: el Levantamiento de Procesos Municipales y Diseño de Plataforma de Servicios de Gestión y Administración Municipal 2024, y su Anexo 2, con 42 procesos repartidos en seis módulos iniciales —Adquisiciones, Presupuestos, Contabilidad, Tesorería, Recursos Humanos y Remuneraciones—. Siguiendo una recomendación de ese primer informe, se optó por desarrollar el sistema sobre </w:t>
      </w:r>
      <w:proofErr w:type="spellStart"/>
      <w:r>
        <w:rPr>
          <w:rFonts w:ascii="Calibri" w:hAnsi="Calibri"/>
        </w:rPr>
        <w:t>Odoo</w:t>
      </w:r>
      <w:proofErr w:type="spellEnd"/>
      <w:r>
        <w:rPr>
          <w:rFonts w:ascii="Calibri" w:hAnsi="Calibri"/>
        </w:rPr>
        <w:t>, bajo la idea de que un ecosistema con módulos estándar de finanzas y personal permitiría menos desarrollo a medida y mayor rapidez.</w:t>
      </w:r>
    </w:p>
    <w:p w14:paraId="19C671BE" w14:textId="77777777" w:rsidR="005C54C5" w:rsidRDefault="00000000">
      <w:pPr>
        <w:spacing w:after="160"/>
      </w:pPr>
      <w:r>
        <w:rPr>
          <w:rFonts w:ascii="Calibri" w:hAnsi="Calibri"/>
        </w:rPr>
        <w:t xml:space="preserve">Tras la licitación, el proyecto se ejecutó durante 2025 en tres etapas: definición y planificación; dos ciclos de desarrollo con jornadas de retroalimentación de cinco municipalidades —Quilaco, </w:t>
      </w:r>
      <w:proofErr w:type="spellStart"/>
      <w:r>
        <w:rPr>
          <w:rFonts w:ascii="Calibri" w:hAnsi="Calibri"/>
        </w:rPr>
        <w:t>Cochamó</w:t>
      </w:r>
      <w:proofErr w:type="spellEnd"/>
      <w:r>
        <w:rPr>
          <w:rFonts w:ascii="Calibri" w:hAnsi="Calibri"/>
        </w:rPr>
        <w:t>, Villarrica, María Pinto y Las Cabras—; y un piloto con capacitación del módulo de Adquisiciones.</w:t>
      </w:r>
    </w:p>
    <w:p w14:paraId="6D064E54" w14:textId="77777777" w:rsidR="005C54C5" w:rsidRDefault="00000000">
      <w:pPr>
        <w:pStyle w:val="Ttulo2"/>
      </w:pPr>
      <w:r>
        <w:rPr>
          <w:rFonts w:ascii="Calibri" w:hAnsi="Calibri"/>
          <w:sz w:val="24"/>
        </w:rPr>
        <w:t>Resultados obtenidos</w:t>
      </w:r>
    </w:p>
    <w:p w14:paraId="25F7D139" w14:textId="77777777" w:rsidR="005C54C5" w:rsidRDefault="00000000">
      <w:pPr>
        <w:spacing w:after="160"/>
      </w:pPr>
      <w:r>
        <w:rPr>
          <w:rFonts w:ascii="Calibri" w:hAnsi="Calibri"/>
        </w:rPr>
        <w:t>El resultado fue un prototipo con gran parte de los procesos reflejados en formularios detallados. Eso permitió reconocer flujos y actores, y recibir mejoras a partir de la experiencia de las municipalidades participantes, en comparación con los sistemas que usan hoy. También dejó una base en código de propiedad de SUBDERE, a partir de la cual se pueden reconocer las relaciones entre procesos y datos. En 2026 ese contraste se profundizó revisando el código real del prototipo frente al levantamiento de procesos, no solo frente a listados de base de datos. Ese trabajo —piloto, retroalimentación municipal y contraste técnico— es precisamente lo que permite hoy saber qué reutilizar y qué no conviene volver a construir sobre la misma base.</w:t>
      </w:r>
    </w:p>
    <w:p w14:paraId="2F222FFB" w14:textId="77777777" w:rsidR="005C54C5" w:rsidRDefault="00000000">
      <w:pPr>
        <w:pStyle w:val="Ttulo2"/>
      </w:pPr>
      <w:r>
        <w:rPr>
          <w:rFonts w:ascii="Calibri" w:hAnsi="Calibri"/>
          <w:sz w:val="24"/>
        </w:rPr>
        <w:t>Pendientes y brechas</w:t>
      </w:r>
    </w:p>
    <w:p w14:paraId="4D977378" w14:textId="77777777" w:rsidR="005C54C5" w:rsidRDefault="00000000">
      <w:pPr>
        <w:pStyle w:val="Ttulo2"/>
      </w:pPr>
      <w:r>
        <w:rPr>
          <w:rFonts w:ascii="Calibri" w:hAnsi="Calibri"/>
          <w:sz w:val="24"/>
        </w:rPr>
        <w:t>1. Formularios de registro, no un sistema integrado</w:t>
      </w:r>
    </w:p>
    <w:p w14:paraId="4635A0C7" w14:textId="5C486147" w:rsidR="005C54C5" w:rsidRDefault="00000000">
      <w:pPr>
        <w:spacing w:after="160"/>
      </w:pPr>
      <w:r>
        <w:rPr>
          <w:rFonts w:ascii="Calibri" w:hAnsi="Calibri"/>
        </w:rPr>
        <w:t>El prototipo es, en su mayor parte, una serie de formularios de registro. No llega a comportarse como un sistema de gestión municipal que integre procesos de punta a punta</w:t>
      </w:r>
      <w:r w:rsidR="00EC4B87">
        <w:rPr>
          <w:rFonts w:ascii="Calibri" w:hAnsi="Calibri"/>
        </w:rPr>
        <w:t>,</w:t>
      </w:r>
      <w:r>
        <w:rPr>
          <w:rFonts w:ascii="Calibri" w:hAnsi="Calibri"/>
        </w:rPr>
        <w:t xml:space="preserve"> donde aprobar un paso actualiza, de forma coherente, presupuesto, contabilidad, pago u otros efectos que la norma exige.</w:t>
      </w:r>
    </w:p>
    <w:p w14:paraId="1265D880" w14:textId="2CFEA515" w:rsidR="005C54C5" w:rsidRDefault="00000000">
      <w:pPr>
        <w:spacing w:after="160"/>
      </w:pPr>
      <w:r>
        <w:rPr>
          <w:rFonts w:ascii="Calibri" w:hAnsi="Calibri"/>
        </w:rPr>
        <w:t xml:space="preserve">Una auditoría de calidad del módulo de Adquisiciones (julio 2026) documentó 67 puntos de mejora, de distinta gravedad. No eran solo errores puntuales: hubo hallazgos de diseño. En particular, los puntos 66 y 67 identificaron que «Modalidad de Compra» y «Resolución de Compra» estaban modelados como un solo formulario genérico para las cuatro modalidades legales </w:t>
      </w:r>
      <w:r w:rsidR="00EC4B87">
        <w:rPr>
          <w:rFonts w:ascii="Calibri" w:hAnsi="Calibri"/>
        </w:rPr>
        <w:t>(</w:t>
      </w:r>
      <w:r w:rsidRPr="00EC4B87">
        <w:rPr>
          <w:rFonts w:ascii="Calibri" w:hAnsi="Calibri"/>
        </w:rPr>
        <w:t>Compra</w:t>
      </w:r>
      <w:r>
        <w:rPr>
          <w:rFonts w:ascii="Calibri" w:hAnsi="Calibri"/>
        </w:rPr>
        <w:t xml:space="preserve"> Ágil, Convenio Marco, Licitación y Trato Directo</w:t>
      </w:r>
      <w:r w:rsidR="00EC4B87">
        <w:rPr>
          <w:rFonts w:ascii="Calibri" w:hAnsi="Calibri"/>
        </w:rPr>
        <w:t>)</w:t>
      </w:r>
      <w:r>
        <w:rPr>
          <w:rFonts w:ascii="Calibri" w:hAnsi="Calibri"/>
        </w:rPr>
        <w:t>, cuando en la práctica cada una exige campos, controles y aprobaciones propios.</w:t>
      </w:r>
    </w:p>
    <w:p w14:paraId="682F50AF" w14:textId="77777777" w:rsidR="005C54C5" w:rsidRDefault="00000000">
      <w:pPr>
        <w:spacing w:after="160"/>
      </w:pPr>
      <w:r>
        <w:rPr>
          <w:rFonts w:ascii="Calibri" w:hAnsi="Calibri"/>
        </w:rPr>
        <w:t>El contraste módulo a módulo contra el código del prototipo refuerza ese diagnóstico:</w:t>
      </w:r>
    </w:p>
    <w:p w14:paraId="7A372D86" w14:textId="77777777" w:rsidR="005C54C5" w:rsidRDefault="00000000">
      <w:pPr>
        <w:pStyle w:val="Listaconvietas"/>
        <w:spacing w:after="80"/>
      </w:pPr>
      <w:r>
        <w:rPr>
          <w:rFonts w:ascii="Calibri" w:hAnsi="Calibri"/>
          <w:b/>
        </w:rPr>
        <w:t>Presupuestos.</w:t>
      </w:r>
      <w:r>
        <w:rPr>
          <w:rFonts w:ascii="Calibri" w:hAnsi="Calibri"/>
        </w:rPr>
        <w:t xml:space="preserve"> Existe un motor real de fichas por área, equilibrio entre ingresos y gastos, y la cadena de compromiso del gasto (certificado de disponibilidad, </w:t>
      </w:r>
      <w:proofErr w:type="spellStart"/>
      <w:r>
        <w:rPr>
          <w:rFonts w:ascii="Calibri" w:hAnsi="Calibri"/>
        </w:rPr>
        <w:t>preobligación</w:t>
      </w:r>
      <w:proofErr w:type="spellEnd"/>
      <w:r>
        <w:rPr>
          <w:rFonts w:ascii="Calibri" w:hAnsi="Calibri"/>
        </w:rPr>
        <w:t xml:space="preserve">, obligación y egreso). No están resueltos, entre otros, el silencio del artículo 82 de la Ley 18.695 (Ley Orgánica Constitucional de Municipalidades), los límites del 42 % (artículo 67 de esa misma ley) y del 20 % (Ley 18.883), las </w:t>
      </w:r>
      <w:r>
        <w:rPr>
          <w:rFonts w:ascii="Calibri" w:hAnsi="Calibri"/>
        </w:rPr>
        <w:lastRenderedPageBreak/>
        <w:t>series históricas, Salud y Educación como entidades presupuestarias distintas, ni el acuerdo del Concejo a nivel de subtítulo e ítem.</w:t>
      </w:r>
    </w:p>
    <w:p w14:paraId="31DA79B9" w14:textId="77777777" w:rsidR="005C54C5" w:rsidRDefault="00000000">
      <w:pPr>
        <w:pStyle w:val="Listaconvietas"/>
        <w:spacing w:after="80"/>
      </w:pPr>
      <w:r>
        <w:rPr>
          <w:rFonts w:ascii="Calibri" w:hAnsi="Calibri"/>
          <w:b/>
        </w:rPr>
        <w:t>Tesorería.</w:t>
      </w:r>
      <w:r>
        <w:rPr>
          <w:rFonts w:ascii="Calibri" w:hAnsi="Calibri"/>
        </w:rPr>
        <w:t xml:space="preserve"> El núcleo de caja diaria, arqueo y decreto de pago es el más avanzado del prototipo, incluido un canal de recepción desde la plataforma de Servicios Municipales (SEM) de SUBDERE. Faltan el Estado Diario como documento, la anulación acotada al cierre de la jornada de caja, la conciliación bancaria auxiliar diaria, el certificado de saldos bancarios —sin el cual Contabilidad no puede cerrar— y garantías o pagos a terceros con efecto contable y plazos legales. En varios de estos casos hay pantalla o trámite, pero el sistema no cambia el estado real del negocio.</w:t>
      </w:r>
    </w:p>
    <w:p w14:paraId="257C746B" w14:textId="77777777" w:rsidR="005C54C5" w:rsidRDefault="00000000">
      <w:pPr>
        <w:pStyle w:val="Listaconvietas"/>
        <w:spacing w:after="80"/>
      </w:pPr>
      <w:r>
        <w:rPr>
          <w:rFonts w:ascii="Calibri" w:hAnsi="Calibri"/>
          <w:b/>
        </w:rPr>
        <w:t>Contabilidad.</w:t>
      </w:r>
      <w:r>
        <w:rPr>
          <w:rFonts w:ascii="Calibri" w:hAnsi="Calibri"/>
        </w:rPr>
        <w:t xml:space="preserve"> Hay diez procesos levantados. Un caso ilustrativo es el </w:t>
      </w:r>
      <w:proofErr w:type="spellStart"/>
      <w:r>
        <w:rPr>
          <w:rFonts w:ascii="Calibri" w:hAnsi="Calibri"/>
        </w:rPr>
        <w:t>factoring</w:t>
      </w:r>
      <w:proofErr w:type="spellEnd"/>
      <w:r>
        <w:rPr>
          <w:rFonts w:ascii="Calibri" w:hAnsi="Calibri"/>
        </w:rPr>
        <w:t xml:space="preserve"> o cesión de facturas: el flujo está descrito y una persona puede seguirlo, pero el decreto de pago no tiene forma de quedar suspendido ni de interrumpir el pago cuando corresponde. Misma lógica: hay trámite, no hay efecto de sistema.</w:t>
      </w:r>
    </w:p>
    <w:p w14:paraId="328AE7EA" w14:textId="77777777" w:rsidR="005C54C5" w:rsidRDefault="00000000">
      <w:pPr>
        <w:pStyle w:val="Listaconvietas"/>
        <w:spacing w:after="80"/>
      </w:pPr>
      <w:r>
        <w:rPr>
          <w:rFonts w:ascii="Calibri" w:hAnsi="Calibri"/>
          <w:b/>
        </w:rPr>
        <w:t>Recursos Humanos y Remuneraciones.</w:t>
      </w:r>
      <w:r>
        <w:rPr>
          <w:rFonts w:ascii="Calibri" w:hAnsi="Calibri"/>
        </w:rPr>
        <w:t xml:space="preserve"> Existen liquidación de remuneraciones, escala municipal y puente hacia la contabilidad. Faltan la consulta de disponibilidad presupuestaria al contratar, el control de cupo, los validadores del 42 % y del 20 %, y una integración real con SIAPER (solo hay campos y asistentes en pantalla). </w:t>
      </w:r>
      <w:proofErr w:type="gramStart"/>
      <w:r>
        <w:rPr>
          <w:rFonts w:ascii="Calibri" w:hAnsi="Calibri"/>
        </w:rPr>
        <w:t>Además</w:t>
      </w:r>
      <w:proofErr w:type="gramEnd"/>
      <w:r>
        <w:rPr>
          <w:rFonts w:ascii="Calibri" w:hAnsi="Calibri"/>
        </w:rPr>
        <w:t xml:space="preserve"> coexisten dos catálogos distintos para el mismo concepto de «calidad jurídica».</w:t>
      </w:r>
    </w:p>
    <w:p w14:paraId="15EFDAF2" w14:textId="77777777" w:rsidR="005C54C5" w:rsidRDefault="00000000">
      <w:pPr>
        <w:pStyle w:val="Ttulo2"/>
      </w:pPr>
      <w:r>
        <w:rPr>
          <w:rFonts w:ascii="Calibri" w:hAnsi="Calibri"/>
          <w:sz w:val="24"/>
        </w:rPr>
        <w:t>2. Conexión con otros sistemas: incompleta y difícil de escalar</w:t>
      </w:r>
    </w:p>
    <w:p w14:paraId="2DAF2EB6" w14:textId="77777777" w:rsidR="005C54C5" w:rsidRDefault="00000000">
      <w:pPr>
        <w:spacing w:after="160"/>
      </w:pPr>
      <w:r>
        <w:rPr>
          <w:rFonts w:ascii="Calibri" w:hAnsi="Calibri"/>
        </w:rPr>
        <w:t>El prototipo llegó a conectarse de forma limitada con Clave Única (para que los funcionarios inicien sesión) y con SEM (para registrar cobros originados fuera de Tesorería). La conexión con SEM, sin embargo, no fue solo incompleta en alcance: el canal productivo creaba órdenes de ingreso y pagos sin pedir contraseña ni credencial. Es un problema de diseño de seguridad —una puerta abierta sobre dinero municipal—, no solo de «falta de integración».</w:t>
      </w:r>
    </w:p>
    <w:p w14:paraId="349FC9D2" w14:textId="40EF0E94" w:rsidR="005C54C5" w:rsidRDefault="00000000">
      <w:pPr>
        <w:spacing w:after="160"/>
      </w:pPr>
      <w:r>
        <w:rPr>
          <w:rFonts w:ascii="Calibri" w:hAnsi="Calibri"/>
        </w:rPr>
        <w:t>El problema mayor es de arquitectura. Cada municipio tiende a requerir configuración y llaves de acceso propias hacia sistemas externos. El costo de mantención crece de forma lineal con cada municipio que se suma</w:t>
      </w:r>
      <w:r w:rsidR="00EC4B87">
        <w:rPr>
          <w:rFonts w:ascii="Calibri" w:hAnsi="Calibri"/>
        </w:rPr>
        <w:t>, haciéndolo</w:t>
      </w:r>
      <w:r>
        <w:rPr>
          <w:rFonts w:ascii="Calibri" w:hAnsi="Calibri"/>
        </w:rPr>
        <w:t xml:space="preserve"> insostenible a escala nacional.</w:t>
      </w:r>
    </w:p>
    <w:p w14:paraId="4A8568F3" w14:textId="77777777" w:rsidR="005C54C5" w:rsidRDefault="00000000">
      <w:pPr>
        <w:pStyle w:val="Ttulo2"/>
      </w:pPr>
      <w:r>
        <w:rPr>
          <w:rFonts w:ascii="Calibri" w:hAnsi="Calibri"/>
          <w:sz w:val="24"/>
        </w:rPr>
        <w:t xml:space="preserve">3. </w:t>
      </w:r>
      <w:proofErr w:type="spellStart"/>
      <w:r>
        <w:rPr>
          <w:rFonts w:ascii="Calibri" w:hAnsi="Calibri"/>
          <w:sz w:val="24"/>
        </w:rPr>
        <w:t>Odoo</w:t>
      </w:r>
      <w:proofErr w:type="spellEnd"/>
      <w:r>
        <w:rPr>
          <w:rFonts w:ascii="Calibri" w:hAnsi="Calibri"/>
          <w:sz w:val="24"/>
        </w:rPr>
        <w:t xml:space="preserve"> no permite que otros sistemas usen SGM en igualdad de condiciones sin una capa construida y mantenida a mano</w:t>
      </w:r>
    </w:p>
    <w:p w14:paraId="7B18109C" w14:textId="77777777" w:rsidR="005C54C5" w:rsidRDefault="00000000">
      <w:pPr>
        <w:spacing w:after="160"/>
      </w:pPr>
      <w:r>
        <w:rPr>
          <w:rFonts w:ascii="Calibri" w:hAnsi="Calibri"/>
        </w:rPr>
        <w:t xml:space="preserve">Uno de los objetivos centrales de SGM es la independencia de módulos: que un municipio pueda conservar parte de sus sistemas actuales y adoptar solo aquellos módulos de SGM que le aporten más eficiencia. Eso exige una «puerta de servicio» estable —una interfaz pública documentada, a menudo llamada API— para exportar y consumir datos de forma estandarizada. Sin esa puerta, </w:t>
      </w:r>
      <w:proofErr w:type="gramStart"/>
      <w:r>
        <w:rPr>
          <w:rFonts w:ascii="Calibri" w:hAnsi="Calibri"/>
        </w:rPr>
        <w:t>la modularidad</w:t>
      </w:r>
      <w:proofErr w:type="gramEnd"/>
      <w:r>
        <w:rPr>
          <w:rFonts w:ascii="Calibri" w:hAnsi="Calibri"/>
        </w:rPr>
        <w:t xml:space="preserve"> queda en el discurso.</w:t>
      </w:r>
    </w:p>
    <w:p w14:paraId="654224CF" w14:textId="77777777" w:rsidR="005C54C5" w:rsidRDefault="00000000">
      <w:pPr>
        <w:spacing w:after="160"/>
      </w:pPr>
      <w:proofErr w:type="spellStart"/>
      <w:r>
        <w:rPr>
          <w:rFonts w:ascii="Calibri" w:hAnsi="Calibri"/>
        </w:rPr>
        <w:t>Odoo</w:t>
      </w:r>
      <w:proofErr w:type="spellEnd"/>
      <w:r>
        <w:rPr>
          <w:rFonts w:ascii="Calibri" w:hAnsi="Calibri"/>
        </w:rPr>
        <w:t xml:space="preserve"> no ofrece esa puerta de servicio de forma nativa. Expone su forma interna de guardar datos, no un contrato de servicio pensado para terceros. Ya constaba antes del desarrollo, en el propio levantamiento:</w:t>
      </w:r>
    </w:p>
    <w:p w14:paraId="358B0805" w14:textId="77777777" w:rsidR="005C54C5" w:rsidRDefault="00000000">
      <w:pPr>
        <w:spacing w:after="80"/>
        <w:ind w:left="567"/>
      </w:pPr>
      <w:r>
        <w:rPr>
          <w:rFonts w:ascii="Calibri" w:hAnsi="Calibri"/>
          <w:i/>
        </w:rPr>
        <w:t xml:space="preserve">«Ofrece </w:t>
      </w:r>
      <w:proofErr w:type="spellStart"/>
      <w:r>
        <w:rPr>
          <w:rFonts w:ascii="Calibri" w:hAnsi="Calibri"/>
          <w:i/>
        </w:rPr>
        <w:t>APIs</w:t>
      </w:r>
      <w:proofErr w:type="spellEnd"/>
      <w:r>
        <w:rPr>
          <w:rFonts w:ascii="Calibri" w:hAnsi="Calibri"/>
          <w:i/>
        </w:rPr>
        <w:t xml:space="preserve"> abiertas que facilitan la integración con otros sistemas, tanto internos como externos. No es una API </w:t>
      </w:r>
      <w:proofErr w:type="spellStart"/>
      <w:r>
        <w:rPr>
          <w:rFonts w:ascii="Calibri" w:hAnsi="Calibri"/>
          <w:i/>
        </w:rPr>
        <w:t>Rest</w:t>
      </w:r>
      <w:proofErr w:type="spellEnd"/>
      <w:r>
        <w:rPr>
          <w:rFonts w:ascii="Calibri" w:hAnsi="Calibri"/>
          <w:i/>
        </w:rPr>
        <w:t xml:space="preserve">, sino que a partir de librerías (disponibles para varios lenguajes de programación) desarrollados por </w:t>
      </w:r>
      <w:proofErr w:type="spellStart"/>
      <w:r>
        <w:rPr>
          <w:rFonts w:ascii="Calibri" w:hAnsi="Calibri"/>
          <w:i/>
        </w:rPr>
        <w:t>Odoo</w:t>
      </w:r>
      <w:proofErr w:type="spellEnd"/>
      <w:r>
        <w:rPr>
          <w:rFonts w:ascii="Calibri" w:hAnsi="Calibri"/>
          <w:i/>
        </w:rPr>
        <w:t>.»</w:t>
      </w:r>
    </w:p>
    <w:p w14:paraId="31BF7418" w14:textId="77777777" w:rsidR="005C54C5" w:rsidRDefault="00000000">
      <w:pPr>
        <w:ind w:left="567"/>
      </w:pPr>
      <w:r>
        <w:rPr>
          <w:rFonts w:ascii="Calibri" w:hAnsi="Calibri"/>
          <w:i/>
          <w:sz w:val="20"/>
        </w:rPr>
        <w:lastRenderedPageBreak/>
        <w:t>— Informe 4, Levantamiento de procesos y diseño de servicio SGM, julio 2024, p. 58.</w:t>
      </w:r>
    </w:p>
    <w:p w14:paraId="18D5931D" w14:textId="77777777" w:rsidR="005C54C5" w:rsidRDefault="00000000">
      <w:pPr>
        <w:spacing w:after="160"/>
      </w:pPr>
      <w:r>
        <w:rPr>
          <w:rFonts w:ascii="Calibri" w:hAnsi="Calibri"/>
        </w:rPr>
        <w:t xml:space="preserve">Dar igualdad de acceso —que un municipio o una empresa externa pueda usar SGM con las mismas reglas que SUBDERE, sin puertas traseras— obliga a construir una capa traductora encima de </w:t>
      </w:r>
      <w:proofErr w:type="spellStart"/>
      <w:r>
        <w:rPr>
          <w:rFonts w:ascii="Calibri" w:hAnsi="Calibri"/>
        </w:rPr>
        <w:t>Odoo</w:t>
      </w:r>
      <w:proofErr w:type="spellEnd"/>
      <w:r>
        <w:rPr>
          <w:rFonts w:ascii="Calibri" w:hAnsi="Calibri"/>
        </w:rPr>
        <w:t>. Esa capa es deuda permanente:</w:t>
      </w:r>
    </w:p>
    <w:p w14:paraId="54798392" w14:textId="77777777" w:rsidR="005C54C5" w:rsidRDefault="00000000">
      <w:pPr>
        <w:pStyle w:val="Listaconnmeros"/>
        <w:spacing w:after="80"/>
      </w:pPr>
      <w:r>
        <w:rPr>
          <w:rFonts w:ascii="Calibri" w:hAnsi="Calibri"/>
        </w:rPr>
        <w:t xml:space="preserve">Se rompe con cada actualización de </w:t>
      </w:r>
      <w:proofErr w:type="spellStart"/>
      <w:r>
        <w:rPr>
          <w:rFonts w:ascii="Calibri" w:hAnsi="Calibri"/>
        </w:rPr>
        <w:t>Odoo</w:t>
      </w:r>
      <w:proofErr w:type="spellEnd"/>
      <w:r>
        <w:rPr>
          <w:rFonts w:ascii="Calibri" w:hAnsi="Calibri"/>
        </w:rPr>
        <w:t xml:space="preserve"> o de un complemento. Mantenerla al día no es un costo de proyecto: es un costo indefinido.</w:t>
      </w:r>
    </w:p>
    <w:p w14:paraId="54B94F2E" w14:textId="77777777" w:rsidR="005C54C5" w:rsidRDefault="00000000">
      <w:pPr>
        <w:pStyle w:val="Listaconnmeros"/>
        <w:spacing w:after="80"/>
      </w:pPr>
      <w:r>
        <w:rPr>
          <w:rFonts w:ascii="Calibri" w:hAnsi="Calibri"/>
        </w:rPr>
        <w:t>Si queda incompleta, el dato se bifurca: lo que la capa no cubre se consume por otra vía y aparecen dos versiones de la misma información.</w:t>
      </w:r>
    </w:p>
    <w:p w14:paraId="641F7B10" w14:textId="77777777" w:rsidR="005C54C5" w:rsidRDefault="00000000">
      <w:pPr>
        <w:pStyle w:val="Listaconnmeros"/>
        <w:spacing w:after="80"/>
      </w:pPr>
      <w:r>
        <w:rPr>
          <w:rFonts w:ascii="Calibri" w:hAnsi="Calibri"/>
        </w:rPr>
        <w:t>Si cambia, los terceros quedan obsoletos sin aviso. Un acuerdo que se mueve cuando se mueve la implementación interna no es un acuerdo: es un reflejo. Ningún sistema externo puede depender de él con seguridad.</w:t>
      </w:r>
    </w:p>
    <w:p w14:paraId="26C10F79" w14:textId="77777777" w:rsidR="005C54C5" w:rsidRDefault="00000000">
      <w:pPr>
        <w:pStyle w:val="Listaconnmeros"/>
        <w:spacing w:after="80"/>
      </w:pPr>
      <w:r>
        <w:rPr>
          <w:rFonts w:ascii="Calibri" w:hAnsi="Calibri"/>
        </w:rPr>
        <w:t>Y la brecha degrada la integridad del dato municipal. Cuando la capa no alcanza, el consumidor usa el acceso directo al modelo interno, y las validaciones del sistema no se aplican por igual.</w:t>
      </w:r>
    </w:p>
    <w:p w14:paraId="577B55B2" w14:textId="77777777" w:rsidR="005C54C5" w:rsidRDefault="00000000">
      <w:pPr>
        <w:spacing w:after="160"/>
      </w:pPr>
      <w:r>
        <w:rPr>
          <w:rFonts w:ascii="Calibri" w:hAnsi="Calibri"/>
        </w:rPr>
        <w:t>Formulado como criterio de Estado: un estándar público no puede tener por contrato la forma interna de guardar datos de un producto privado.</w:t>
      </w:r>
    </w:p>
    <w:p w14:paraId="3193651B" w14:textId="77777777" w:rsidR="005C54C5" w:rsidRDefault="00000000">
      <w:pPr>
        <w:spacing w:after="160"/>
      </w:pPr>
      <w:r>
        <w:rPr>
          <w:rFonts w:ascii="Calibri" w:hAnsi="Calibri"/>
        </w:rPr>
        <w:t xml:space="preserve">Se suma otra brecha entre módulos. Hoy, al aprobar una compra en el prototipo, presupuesto e inventario suelen actualizarse «de una sola vez» dentro de </w:t>
      </w:r>
      <w:proofErr w:type="spellStart"/>
      <w:r>
        <w:rPr>
          <w:rFonts w:ascii="Calibri" w:hAnsi="Calibri"/>
        </w:rPr>
        <w:t>Odoo</w:t>
      </w:r>
      <w:proofErr w:type="spellEnd"/>
      <w:r>
        <w:rPr>
          <w:rFonts w:ascii="Calibri" w:hAnsi="Calibri"/>
        </w:rPr>
        <w:t xml:space="preserve">. Si los módulos deben ser independientes —para que un municipio pueda adoptar solo algunos—, hay que definir cómo no queda uno a medias cuando </w:t>
      </w:r>
      <w:proofErr w:type="gramStart"/>
      <w:r>
        <w:rPr>
          <w:rFonts w:ascii="Calibri" w:hAnsi="Calibri"/>
        </w:rPr>
        <w:t>el otro falla</w:t>
      </w:r>
      <w:proofErr w:type="gramEnd"/>
      <w:r>
        <w:rPr>
          <w:rFonts w:ascii="Calibri" w:hAnsi="Calibri"/>
        </w:rPr>
        <w:t>. Ese mecanismo aún no está cerrado.</w:t>
      </w:r>
    </w:p>
    <w:p w14:paraId="7E9A95AC" w14:textId="77777777" w:rsidR="005C54C5" w:rsidRDefault="00000000">
      <w:pPr>
        <w:pStyle w:val="Ttulo1"/>
      </w:pPr>
      <w:r>
        <w:rPr>
          <w:rFonts w:ascii="Calibri" w:hAnsi="Calibri"/>
        </w:rPr>
        <w:t>B) Alternativas evaluadas y criterios de comparación</w:t>
      </w:r>
    </w:p>
    <w:p w14:paraId="0B6CD1A9" w14:textId="77777777" w:rsidR="005C54C5" w:rsidRDefault="00000000">
      <w:pPr>
        <w:spacing w:after="160"/>
      </w:pPr>
      <w:r>
        <w:rPr>
          <w:rFonts w:ascii="Calibri" w:hAnsi="Calibri"/>
        </w:rPr>
        <w:t>La decisión arquitectónica de julio de 2026 —revisada en agosto de 2026— evaluó tres caminos:</w:t>
      </w:r>
    </w:p>
    <w:p w14:paraId="68B402B4" w14:textId="7768EF05" w:rsidR="005C54C5" w:rsidRDefault="00000000">
      <w:pPr>
        <w:spacing w:after="160"/>
      </w:pPr>
      <w:r>
        <w:rPr>
          <w:rFonts w:ascii="Calibri" w:hAnsi="Calibri"/>
          <w:b/>
        </w:rPr>
        <w:t xml:space="preserve">Alternativa A — Continuar corrigiendo </w:t>
      </w:r>
      <w:proofErr w:type="spellStart"/>
      <w:r>
        <w:rPr>
          <w:rFonts w:ascii="Calibri" w:hAnsi="Calibri"/>
          <w:b/>
        </w:rPr>
        <w:t>Odoo</w:t>
      </w:r>
      <w:proofErr w:type="spellEnd"/>
      <w:r>
        <w:rPr>
          <w:rFonts w:ascii="Calibri" w:hAnsi="Calibri"/>
          <w:b/>
        </w:rPr>
        <w:t xml:space="preserve"> y preparar una migración a la vez. </w:t>
      </w:r>
      <w:r>
        <w:rPr>
          <w:rFonts w:ascii="Calibri" w:hAnsi="Calibri"/>
        </w:rPr>
        <w:t xml:space="preserve">Se descartó porque los hallazgos centrales son de diseño, no de volumen de errores: corregir formularios o ampliar el equipo no cambia el problema de fondo. </w:t>
      </w:r>
      <w:proofErr w:type="spellStart"/>
      <w:r>
        <w:rPr>
          <w:rFonts w:ascii="Calibri" w:hAnsi="Calibri"/>
        </w:rPr>
        <w:t>Odoo</w:t>
      </w:r>
      <w:proofErr w:type="spellEnd"/>
      <w:r>
        <w:rPr>
          <w:rFonts w:ascii="Calibri" w:hAnsi="Calibri"/>
        </w:rPr>
        <w:t xml:space="preserve"> no ofrece una puerta de servicio estable para terceros; seguir invirtiendo en esa base posterga el mismo límite estructural que la auditoría y el levantamiento ya dejaron en evidencia.</w:t>
      </w:r>
    </w:p>
    <w:p w14:paraId="5CD8AA13" w14:textId="77777777" w:rsidR="005C54C5" w:rsidRDefault="00000000">
      <w:pPr>
        <w:spacing w:after="160"/>
      </w:pPr>
      <w:r>
        <w:rPr>
          <w:rFonts w:ascii="Calibri" w:hAnsi="Calibri"/>
          <w:b/>
        </w:rPr>
        <w:t xml:space="preserve">Alternativa B — Mantener </w:t>
      </w:r>
      <w:proofErr w:type="spellStart"/>
      <w:r>
        <w:rPr>
          <w:rFonts w:ascii="Calibri" w:hAnsi="Calibri"/>
          <w:b/>
        </w:rPr>
        <w:t>Odoo</w:t>
      </w:r>
      <w:proofErr w:type="spellEnd"/>
      <w:r>
        <w:rPr>
          <w:rFonts w:ascii="Calibri" w:hAnsi="Calibri"/>
          <w:b/>
        </w:rPr>
        <w:t xml:space="preserve"> y construir encima una capa traductora propia (una API REST). </w:t>
      </w:r>
      <w:r>
        <w:rPr>
          <w:rFonts w:ascii="Calibri" w:hAnsi="Calibri"/>
        </w:rPr>
        <w:t>Fue la opción que más lejos llegó en la discusión. Se descartó por la deuda permanente descrita en la sección A: esa capa se rompe con cada versión; si queda incompleta el dato se duplica; si cambia, los terceros quedan obsoletos; y la brecha empuja al acceso directo, debilitando las validaciones. Un estándar del Estado no puede depender de que alguien mantenga sincronizada, para siempre, una traducción del modelo interno de un producto privado.</w:t>
      </w:r>
    </w:p>
    <w:p w14:paraId="7F019050" w14:textId="77777777" w:rsidR="005C54C5" w:rsidRDefault="00000000">
      <w:pPr>
        <w:spacing w:after="160"/>
      </w:pPr>
      <w:r>
        <w:rPr>
          <w:rFonts w:ascii="Calibri" w:hAnsi="Calibri"/>
          <w:b/>
        </w:rPr>
        <w:t xml:space="preserve">Alternativa C — Licitar un sistema nuevo especificado por SUBDERE. </w:t>
      </w:r>
      <w:r>
        <w:rPr>
          <w:rFonts w:ascii="Calibri" w:hAnsi="Calibri"/>
        </w:rPr>
        <w:t xml:space="preserve">Adoptada. Es la única que permite que las reglas de intercambio entre sistemas sean un documento de diseño versionado —propiedad del Estado—, y no un reflejo de cómo un proveedor guardó los datos por dentro. Importa subrayar el sentido de la decisión: no se licita porque «falló el personal» ni porque el piloto no aportó valor, sino porque la plataforma elegida no puede sostener, sin deuda permanente, el objetivo de modularidad e </w:t>
      </w:r>
      <w:r>
        <w:rPr>
          <w:rFonts w:ascii="Calibri" w:hAnsi="Calibri"/>
        </w:rPr>
        <w:lastRenderedPageBreak/>
        <w:t xml:space="preserve">igualdad de acceso. Lo hecho en </w:t>
      </w:r>
      <w:proofErr w:type="spellStart"/>
      <w:r>
        <w:rPr>
          <w:rFonts w:ascii="Calibri" w:hAnsi="Calibri"/>
        </w:rPr>
        <w:t>Odoo</w:t>
      </w:r>
      <w:proofErr w:type="spellEnd"/>
      <w:r>
        <w:rPr>
          <w:rFonts w:ascii="Calibri" w:hAnsi="Calibri"/>
        </w:rPr>
        <w:t xml:space="preserve"> pasa a ser especificación y requisito del sistema nuevo (sección D).</w:t>
      </w:r>
    </w:p>
    <w:p w14:paraId="7A0A3F1A" w14:textId="77777777" w:rsidR="005C54C5" w:rsidRDefault="00000000">
      <w:pPr>
        <w:pStyle w:val="Ttulo2"/>
      </w:pPr>
      <w:r>
        <w:rPr>
          <w:rFonts w:ascii="Calibri" w:hAnsi="Calibri"/>
          <w:sz w:val="24"/>
        </w:rPr>
        <w:t>Criterios utilizados</w:t>
      </w:r>
    </w:p>
    <w:p w14:paraId="7623B3F7" w14:textId="77777777" w:rsidR="005C54C5" w:rsidRDefault="00000000">
      <w:pPr>
        <w:spacing w:after="160"/>
      </w:pPr>
      <w:r>
        <w:rPr>
          <w:rFonts w:ascii="Calibri" w:hAnsi="Calibri"/>
        </w:rPr>
        <w:t>Los criterios de comparación fueron:</w:t>
      </w:r>
    </w:p>
    <w:p w14:paraId="52BBFDBF" w14:textId="77777777" w:rsidR="005C54C5" w:rsidRDefault="00000000" w:rsidP="00893C24">
      <w:pPr>
        <w:pStyle w:val="Listaconnmeros"/>
        <w:numPr>
          <w:ilvl w:val="0"/>
          <w:numId w:val="10"/>
        </w:numPr>
        <w:spacing w:after="80"/>
      </w:pPr>
      <w:r>
        <w:rPr>
          <w:rFonts w:ascii="Calibri" w:hAnsi="Calibri"/>
        </w:rPr>
        <w:t>Igualdad de acceso: un municipio o una empresa externa usa SGM con las mismas reglas que SUBDERE, sin privilegios ocultos.</w:t>
      </w:r>
    </w:p>
    <w:p w14:paraId="11025B56" w14:textId="77777777" w:rsidR="005C54C5" w:rsidRDefault="00000000" w:rsidP="00893C24">
      <w:pPr>
        <w:pStyle w:val="Listaconnmeros"/>
        <w:numPr>
          <w:ilvl w:val="0"/>
          <w:numId w:val="10"/>
        </w:numPr>
        <w:spacing w:after="80"/>
      </w:pPr>
      <w:r>
        <w:rPr>
          <w:rFonts w:ascii="Calibri" w:hAnsi="Calibri"/>
        </w:rPr>
        <w:t>El contrato de intercambio es un artefacto de diseño, no un reflejo de la estructura interna del software.</w:t>
      </w:r>
    </w:p>
    <w:p w14:paraId="2276A8A4" w14:textId="77777777" w:rsidR="005C54C5" w:rsidRDefault="00000000" w:rsidP="00893C24">
      <w:pPr>
        <w:pStyle w:val="Listaconnmeros"/>
        <w:numPr>
          <w:ilvl w:val="0"/>
          <w:numId w:val="10"/>
        </w:numPr>
        <w:spacing w:after="80"/>
      </w:pPr>
      <w:r>
        <w:rPr>
          <w:rFonts w:ascii="Calibri" w:hAnsi="Calibri"/>
        </w:rPr>
        <w:t>Distinguir hallazgos de diseño estructural de un mero volumen de errores.</w:t>
      </w:r>
    </w:p>
    <w:p w14:paraId="3D307079" w14:textId="77777777" w:rsidR="005C54C5" w:rsidRDefault="00000000" w:rsidP="00893C24">
      <w:pPr>
        <w:pStyle w:val="Listaconnmeros"/>
        <w:numPr>
          <w:ilvl w:val="0"/>
          <w:numId w:val="10"/>
        </w:numPr>
        <w:spacing w:after="80"/>
      </w:pPr>
      <w:r>
        <w:rPr>
          <w:rFonts w:ascii="Calibri" w:hAnsi="Calibri"/>
        </w:rPr>
        <w:t>Naturaleza del costo en el tiempo: deuda permanente de mantención versus costo acotado de un proyecto de especificación y desarrollo.</w:t>
      </w:r>
    </w:p>
    <w:p w14:paraId="0657A415" w14:textId="77777777" w:rsidR="005C54C5" w:rsidRDefault="00000000" w:rsidP="00893C24">
      <w:pPr>
        <w:pStyle w:val="Listaconnmeros"/>
        <w:numPr>
          <w:ilvl w:val="0"/>
          <w:numId w:val="10"/>
        </w:numPr>
        <w:spacing w:after="80"/>
      </w:pPr>
      <w:r>
        <w:rPr>
          <w:rFonts w:ascii="Calibri" w:hAnsi="Calibri"/>
        </w:rPr>
        <w:t>Integridad del dato municipal si la capa de acceso queda incompleta.</w:t>
      </w:r>
    </w:p>
    <w:p w14:paraId="6B3E7019" w14:textId="77777777" w:rsidR="005C54C5" w:rsidRDefault="00000000" w:rsidP="00893C24">
      <w:pPr>
        <w:pStyle w:val="Listaconnmeros"/>
        <w:numPr>
          <w:ilvl w:val="0"/>
          <w:numId w:val="10"/>
        </w:numPr>
        <w:spacing w:after="80"/>
      </w:pPr>
      <w:r>
        <w:rPr>
          <w:rFonts w:ascii="Calibri" w:hAnsi="Calibri"/>
        </w:rPr>
        <w:t>Independencia real de módulos (que un municipio grande pueda adoptar solo algunos y conectar el resto a sus sistemas propios).</w:t>
      </w:r>
    </w:p>
    <w:p w14:paraId="555F714E" w14:textId="759C1886" w:rsidR="005C54C5" w:rsidRDefault="00000000">
      <w:pPr>
        <w:spacing w:after="160"/>
      </w:pPr>
      <w:r>
        <w:rPr>
          <w:rFonts w:ascii="Calibri" w:hAnsi="Calibri"/>
        </w:rPr>
        <w:t xml:space="preserve">En un plano distinto —ya decidida la salida de </w:t>
      </w:r>
      <w:proofErr w:type="spellStart"/>
      <w:r>
        <w:rPr>
          <w:rFonts w:ascii="Calibri" w:hAnsi="Calibri"/>
        </w:rPr>
        <w:t>Odoo</w:t>
      </w:r>
      <w:proofErr w:type="spellEnd"/>
      <w:r>
        <w:rPr>
          <w:rFonts w:ascii="Calibri" w:hAnsi="Calibri"/>
        </w:rPr>
        <w:t xml:space="preserve">— se evaluaron después familias tecnológicas para el reemplazo, según disponibilidad de profesionales en Chile, madurez para sistemas financieros y capacidad de documentar contratos de servicio. Hay dos caminos defendibles en el mercado local. Las bases no deben exigir una marca de software determinada </w:t>
      </w:r>
      <w:r w:rsidR="00893C24">
        <w:rPr>
          <w:rFonts w:ascii="Calibri" w:hAnsi="Calibri"/>
        </w:rPr>
        <w:t>(</w:t>
      </w:r>
      <w:r>
        <w:rPr>
          <w:rFonts w:ascii="Calibri" w:hAnsi="Calibri"/>
        </w:rPr>
        <w:t>riesgo de impugnación por restricción de competencia bajo la Ley 19.886</w:t>
      </w:r>
      <w:r w:rsidR="00893C24">
        <w:rPr>
          <w:rFonts w:ascii="Calibri" w:hAnsi="Calibri"/>
        </w:rPr>
        <w:t>(</w:t>
      </w:r>
      <w:r>
        <w:rPr>
          <w:rFonts w:ascii="Calibri" w:hAnsi="Calibri"/>
        </w:rPr>
        <w:t>, sino lo que el sistema debe cumplir, de forma verificable.</w:t>
      </w:r>
    </w:p>
    <w:p w14:paraId="498AB1D9" w14:textId="77777777" w:rsidR="005C54C5" w:rsidRDefault="00000000">
      <w:pPr>
        <w:pStyle w:val="Ttulo1"/>
      </w:pPr>
      <w:r>
        <w:rPr>
          <w:rFonts w:ascii="Calibri" w:hAnsi="Calibri"/>
        </w:rPr>
        <w:t>C) Justificación de una nueva licitación: técnica, económica, plazos, riesgos y continuidad</w:t>
      </w:r>
    </w:p>
    <w:p w14:paraId="68D5BCFA" w14:textId="77777777" w:rsidR="005C54C5" w:rsidRDefault="00000000">
      <w:pPr>
        <w:pStyle w:val="Ttulo2"/>
      </w:pPr>
      <w:r>
        <w:rPr>
          <w:rFonts w:ascii="Calibri" w:hAnsi="Calibri"/>
          <w:sz w:val="24"/>
        </w:rPr>
        <w:t>Justificación técnica</w:t>
      </w:r>
    </w:p>
    <w:p w14:paraId="6ABFB948" w14:textId="0291BF3C" w:rsidR="005C54C5" w:rsidRDefault="00000000">
      <w:pPr>
        <w:spacing w:after="160"/>
      </w:pPr>
      <w:r>
        <w:rPr>
          <w:rFonts w:ascii="Calibri" w:hAnsi="Calibri"/>
        </w:rPr>
        <w:t xml:space="preserve">El hallazgo determinante no se resuelve solo con más presupuesto: </w:t>
      </w:r>
      <w:proofErr w:type="spellStart"/>
      <w:r>
        <w:rPr>
          <w:rFonts w:ascii="Calibri" w:hAnsi="Calibri"/>
        </w:rPr>
        <w:t>Odoo</w:t>
      </w:r>
      <w:proofErr w:type="spellEnd"/>
      <w:r>
        <w:rPr>
          <w:rFonts w:ascii="Calibri" w:hAnsi="Calibri"/>
        </w:rPr>
        <w:t xml:space="preserve"> no admite, sin deuda permanente, el principio de que SUBDERE y cualquier tercero usen la misma puerta de servicio pública y documentada. Los otros hallazgos</w:t>
      </w:r>
      <w:r w:rsidR="00893C24">
        <w:rPr>
          <w:rFonts w:ascii="Calibri" w:hAnsi="Calibri"/>
        </w:rPr>
        <w:t>, como por ejemplo el</w:t>
      </w:r>
      <w:r>
        <w:rPr>
          <w:rFonts w:ascii="Calibri" w:hAnsi="Calibri"/>
        </w:rPr>
        <w:t xml:space="preserve"> diseño genérico de modalidades de compra e integraciones </w:t>
      </w:r>
      <w:proofErr w:type="gramStart"/>
      <w:r>
        <w:rPr>
          <w:rFonts w:ascii="Calibri" w:hAnsi="Calibri"/>
        </w:rPr>
        <w:t>declaradas</w:t>
      </w:r>
      <w:proofErr w:type="gramEnd"/>
      <w:r>
        <w:rPr>
          <w:rFonts w:ascii="Calibri" w:hAnsi="Calibri"/>
        </w:rPr>
        <w:t xml:space="preserve"> pero no funcionales</w:t>
      </w:r>
      <w:r w:rsidR="00893C24">
        <w:rPr>
          <w:rFonts w:ascii="Calibri" w:hAnsi="Calibri"/>
        </w:rPr>
        <w:t>,</w:t>
      </w:r>
      <w:r>
        <w:rPr>
          <w:rFonts w:ascii="Calibri" w:hAnsi="Calibri"/>
        </w:rPr>
        <w:t xml:space="preserve"> refuerzan esa conclusión</w:t>
      </w:r>
      <w:r w:rsidR="00893C24">
        <w:rPr>
          <w:rFonts w:ascii="Calibri" w:hAnsi="Calibri"/>
        </w:rPr>
        <w:t>,</w:t>
      </w:r>
      <w:r>
        <w:rPr>
          <w:rFonts w:ascii="Calibri" w:hAnsi="Calibri"/>
        </w:rPr>
        <w:t xml:space="preserve"> no la sustituyen. El cambio de plataforma aborda ese límite estructural</w:t>
      </w:r>
      <w:r w:rsidR="00893C24">
        <w:rPr>
          <w:rFonts w:ascii="Calibri" w:hAnsi="Calibri"/>
        </w:rPr>
        <w:t>.</w:t>
      </w:r>
    </w:p>
    <w:p w14:paraId="5833DFAA" w14:textId="77777777" w:rsidR="005C54C5" w:rsidRDefault="00000000">
      <w:pPr>
        <w:spacing w:after="160"/>
      </w:pPr>
      <w:r>
        <w:rPr>
          <w:rFonts w:ascii="Calibri" w:hAnsi="Calibri"/>
        </w:rPr>
        <w:t>La respuesta correcta es fijar en las bases, como condiciones no negociables definidas por SUBDERE y no delegables al adjudicatario, entre otras:</w:t>
      </w:r>
    </w:p>
    <w:p w14:paraId="591854CC" w14:textId="77777777" w:rsidR="005C54C5" w:rsidRDefault="00000000">
      <w:pPr>
        <w:pStyle w:val="Listaconvietas"/>
        <w:spacing w:after="80"/>
      </w:pPr>
      <w:r>
        <w:rPr>
          <w:rFonts w:ascii="Calibri" w:hAnsi="Calibri"/>
        </w:rPr>
        <w:t>una puerta de servicio pública y documentada, con la especificación como fuente de verdad frente al código;</w:t>
      </w:r>
    </w:p>
    <w:p w14:paraId="157A005C" w14:textId="77777777" w:rsidR="005C54C5" w:rsidRDefault="00000000">
      <w:pPr>
        <w:pStyle w:val="Listaconvietas"/>
        <w:spacing w:after="80"/>
      </w:pPr>
      <w:r>
        <w:rPr>
          <w:rFonts w:ascii="Calibri" w:hAnsi="Calibri"/>
        </w:rPr>
        <w:t>el motor del sistema alojado en infraestructura de SUBDERE (con modos para municipios que solo consumen módulos, o que guardan archivos en su propia nube);</w:t>
      </w:r>
    </w:p>
    <w:p w14:paraId="046C92A1" w14:textId="77777777" w:rsidR="005C54C5" w:rsidRDefault="00000000">
      <w:pPr>
        <w:pStyle w:val="Listaconvietas"/>
        <w:spacing w:after="80"/>
      </w:pPr>
      <w:r>
        <w:rPr>
          <w:rFonts w:ascii="Calibri" w:hAnsi="Calibri"/>
        </w:rPr>
        <w:t>componentes abiertos, sin encierro por licenciamiento propietario;</w:t>
      </w:r>
    </w:p>
    <w:p w14:paraId="5441EFB9" w14:textId="77777777" w:rsidR="005C54C5" w:rsidRDefault="00000000">
      <w:pPr>
        <w:pStyle w:val="Listaconvietas"/>
        <w:spacing w:after="80"/>
      </w:pPr>
      <w:r>
        <w:rPr>
          <w:rFonts w:ascii="Calibri" w:hAnsi="Calibri"/>
        </w:rPr>
        <w:lastRenderedPageBreak/>
        <w:t>cumplimiento normativo desde el diseño (entre otros, decretos de transformación digital, ciberseguridad y documentos electrónicos, y las leyes de protección de datos, compras públicas y firma electrónica);</w:t>
      </w:r>
    </w:p>
    <w:p w14:paraId="00965FC2" w14:textId="77777777" w:rsidR="005C54C5" w:rsidRDefault="00000000">
      <w:pPr>
        <w:pStyle w:val="Listaconvietas"/>
        <w:spacing w:after="80"/>
      </w:pPr>
      <w:r>
        <w:rPr>
          <w:rFonts w:ascii="Calibri" w:hAnsi="Calibri"/>
        </w:rPr>
        <w:t>propiedad estatal del código y cláusulas de portabilidad;</w:t>
      </w:r>
    </w:p>
    <w:p w14:paraId="23E436E6" w14:textId="77777777" w:rsidR="005C54C5" w:rsidRDefault="00000000">
      <w:pPr>
        <w:pStyle w:val="Listaconvietas"/>
        <w:spacing w:after="80"/>
      </w:pPr>
      <w:r>
        <w:rPr>
          <w:rFonts w:ascii="Calibri" w:hAnsi="Calibri"/>
        </w:rPr>
        <w:t>documentos y evidencias fuera de la base de datos de operación diaria;</w:t>
      </w:r>
    </w:p>
    <w:p w14:paraId="051AC97C" w14:textId="77777777" w:rsidR="005C54C5" w:rsidRDefault="00000000">
      <w:pPr>
        <w:pStyle w:val="Listaconvietas"/>
        <w:spacing w:after="80"/>
      </w:pPr>
      <w:r>
        <w:rPr>
          <w:rFonts w:ascii="Calibri" w:hAnsi="Calibri"/>
        </w:rPr>
        <w:t>reglas de negocio bloqueantes aplicadas en el servidor, no solo en la pantalla;</w:t>
      </w:r>
    </w:p>
    <w:p w14:paraId="6FB0544D" w14:textId="2038331B" w:rsidR="005C54C5" w:rsidRDefault="00000000">
      <w:pPr>
        <w:pStyle w:val="Listaconvietas"/>
        <w:spacing w:after="80"/>
      </w:pPr>
      <w:r>
        <w:rPr>
          <w:rFonts w:ascii="Calibri" w:hAnsi="Calibri"/>
        </w:rPr>
        <w:t>trazabilidad de c</w:t>
      </w:r>
      <w:r w:rsidR="00893C24">
        <w:rPr>
          <w:rFonts w:ascii="Calibri" w:hAnsi="Calibri"/>
        </w:rPr>
        <w:t xml:space="preserve">ada </w:t>
      </w:r>
      <w:r>
        <w:rPr>
          <w:rFonts w:ascii="Calibri" w:hAnsi="Calibri"/>
        </w:rPr>
        <w:t>expediente con folio único.</w:t>
      </w:r>
    </w:p>
    <w:p w14:paraId="5A9F03A5" w14:textId="77777777" w:rsidR="005C54C5" w:rsidRDefault="00000000">
      <w:pPr>
        <w:pStyle w:val="Ttulo2"/>
      </w:pPr>
      <w:r>
        <w:rPr>
          <w:rFonts w:ascii="Calibri" w:hAnsi="Calibri"/>
          <w:sz w:val="24"/>
        </w:rPr>
        <w:t>Justificación económica</w:t>
      </w:r>
    </w:p>
    <w:p w14:paraId="215BC84E" w14:textId="3D22E0AB" w:rsidR="005C54C5" w:rsidRDefault="00893C24">
      <w:pPr>
        <w:spacing w:after="160"/>
      </w:pPr>
      <w:r>
        <w:rPr>
          <w:rFonts w:ascii="Calibri" w:hAnsi="Calibri"/>
        </w:rPr>
        <w:t>M</w:t>
      </w:r>
      <w:r w:rsidR="00000000">
        <w:rPr>
          <w:rFonts w:ascii="Calibri" w:hAnsi="Calibri"/>
        </w:rPr>
        <w:t xml:space="preserve">antener una capa traductora sobre </w:t>
      </w:r>
      <w:proofErr w:type="spellStart"/>
      <w:r w:rsidR="00000000">
        <w:rPr>
          <w:rFonts w:ascii="Calibri" w:hAnsi="Calibri"/>
        </w:rPr>
        <w:t>Odoo</w:t>
      </w:r>
      <w:proofErr w:type="spellEnd"/>
      <w:r w:rsidR="00000000">
        <w:rPr>
          <w:rFonts w:ascii="Calibri" w:hAnsi="Calibri"/>
        </w:rPr>
        <w:t xml:space="preserve"> es un gasto indefinido; especificar y licitar un sistema con puerta de servicio propia es un costo de proyecto, acotado en el tiempo. En ese contraste, el trabajo ya hecho sobre </w:t>
      </w:r>
      <w:proofErr w:type="spellStart"/>
      <w:r w:rsidR="00000000">
        <w:rPr>
          <w:rFonts w:ascii="Calibri" w:hAnsi="Calibri"/>
        </w:rPr>
        <w:t>Odoo</w:t>
      </w:r>
      <w:proofErr w:type="spellEnd"/>
      <w:r w:rsidR="00000000">
        <w:rPr>
          <w:rFonts w:ascii="Calibri" w:hAnsi="Calibri"/>
        </w:rPr>
        <w:t xml:space="preserve"> —levantamiento validado con municipios, piloto, auditoría y modelo de datos extraído del código— reduce el riesgo de la licitación: no se parte de cero; se parte de requisitos ya contrastados con la operación real.</w:t>
      </w:r>
    </w:p>
    <w:p w14:paraId="5920195F" w14:textId="77777777" w:rsidR="005C54C5" w:rsidRDefault="00000000">
      <w:pPr>
        <w:spacing w:after="160"/>
      </w:pPr>
      <w:r>
        <w:rPr>
          <w:rFonts w:ascii="Calibri" w:hAnsi="Calibri"/>
        </w:rPr>
        <w:t>Además, si las bases reducen conexiones críticas —</w:t>
      </w:r>
      <w:proofErr w:type="spellStart"/>
      <w:r>
        <w:rPr>
          <w:rFonts w:ascii="Calibri" w:hAnsi="Calibri"/>
        </w:rPr>
        <w:t>DocDigital</w:t>
      </w:r>
      <w:proofErr w:type="spellEnd"/>
      <w:r>
        <w:rPr>
          <w:rFonts w:ascii="Calibri" w:hAnsi="Calibri"/>
        </w:rPr>
        <w:t xml:space="preserve">, Mercado Público, </w:t>
      </w:r>
      <w:proofErr w:type="spellStart"/>
      <w:r>
        <w:rPr>
          <w:rFonts w:ascii="Calibri" w:hAnsi="Calibri"/>
        </w:rPr>
        <w:t>FirmaGob</w:t>
      </w:r>
      <w:proofErr w:type="spellEnd"/>
      <w:r>
        <w:rPr>
          <w:rFonts w:ascii="Calibri" w:hAnsi="Calibri"/>
        </w:rPr>
        <w:t>, Servicio de Impuestos Internos, bancos— a «generar un archivo para que alguien lo cargue a mano», se compra la situación actual con una interfaz nueva: el trabajo manual que SGM debía eliminar se reintroduce.</w:t>
      </w:r>
    </w:p>
    <w:p w14:paraId="3F7A44D4" w14:textId="77777777" w:rsidR="005C54C5" w:rsidRDefault="00000000">
      <w:pPr>
        <w:spacing w:after="160"/>
      </w:pPr>
      <w:r>
        <w:rPr>
          <w:rFonts w:ascii="Calibri" w:hAnsi="Calibri"/>
        </w:rPr>
        <w:t>El instrumento para obtener precios y plazos de mercado es una consulta formal al mercado (RFI) vía Mercado Público, al amparo de la reforma a la Ley 19.886 (Ley 21.634): convocatoria pública, registro de lo conversado, sin reuniones informales que expongan el proceso a impugnaciones. SUBDERE debe llegar a esa consulta con un borrador de estándares ya escrito —qué debe cumplir el sistema y cómo se verifica—, no con página en blanco.</w:t>
      </w:r>
    </w:p>
    <w:p w14:paraId="50AF4165" w14:textId="77777777" w:rsidR="005C54C5" w:rsidRDefault="00000000">
      <w:pPr>
        <w:pStyle w:val="Ttulo2"/>
      </w:pPr>
      <w:r>
        <w:rPr>
          <w:rFonts w:ascii="Calibri" w:hAnsi="Calibri"/>
          <w:sz w:val="24"/>
        </w:rPr>
        <w:t>Plazos</w:t>
      </w:r>
    </w:p>
    <w:p w14:paraId="6E6CAB5C" w14:textId="77777777" w:rsidR="005C54C5" w:rsidRDefault="00000000">
      <w:pPr>
        <w:spacing w:after="160"/>
      </w:pPr>
      <w:r>
        <w:rPr>
          <w:rFonts w:ascii="Calibri" w:hAnsi="Calibri"/>
        </w:rPr>
        <w:t xml:space="preserve">La ventana documentada para licitación y desarrollo, durante la cual los cinco municipios piloto siguen operando sobre la base </w:t>
      </w:r>
      <w:proofErr w:type="spellStart"/>
      <w:r>
        <w:rPr>
          <w:rFonts w:ascii="Calibri" w:hAnsi="Calibri"/>
        </w:rPr>
        <w:t>Odoo</w:t>
      </w:r>
      <w:proofErr w:type="spellEnd"/>
      <w:r>
        <w:rPr>
          <w:rFonts w:ascii="Calibri" w:hAnsi="Calibri"/>
        </w:rPr>
        <w:t xml:space="preserve"> descartada, es de 18 a 24 meses. Aún no hay un cronograma fechado de construcción del sistema nuevo. Antes de publicar bases deben resolverse, como mínimo: la consolidación de la especificación entre módulos; la verificación de conexiones con </w:t>
      </w:r>
      <w:proofErr w:type="spellStart"/>
      <w:r>
        <w:rPr>
          <w:rFonts w:ascii="Calibri" w:hAnsi="Calibri"/>
        </w:rPr>
        <w:t>DocDigital</w:t>
      </w:r>
      <w:proofErr w:type="spellEnd"/>
      <w:r>
        <w:rPr>
          <w:rFonts w:ascii="Calibri" w:hAnsi="Calibri"/>
        </w:rPr>
        <w:t xml:space="preserve"> y SIAPER; la forma de no dejar efectos a medias entre módulos; y el alcance de inventario y activo fijo en la primera versión.</w:t>
      </w:r>
    </w:p>
    <w:p w14:paraId="59F6E94C" w14:textId="77777777" w:rsidR="005C54C5" w:rsidRDefault="00000000">
      <w:pPr>
        <w:pStyle w:val="Ttulo2"/>
      </w:pPr>
      <w:r>
        <w:rPr>
          <w:rFonts w:ascii="Calibri" w:hAnsi="Calibri"/>
          <w:sz w:val="24"/>
        </w:rPr>
        <w:t>Riesgos</w:t>
      </w:r>
    </w:p>
    <w:p w14:paraId="7060F2A1" w14:textId="77777777" w:rsidR="005C54C5" w:rsidRDefault="00000000">
      <w:pPr>
        <w:spacing w:after="160"/>
      </w:pPr>
      <w:r>
        <w:rPr>
          <w:rFonts w:ascii="Calibri" w:hAnsi="Calibri"/>
        </w:rPr>
        <w:t>Los principales riesgos de conjunto son:</w:t>
      </w:r>
    </w:p>
    <w:p w14:paraId="52490B84" w14:textId="77777777" w:rsidR="005C54C5" w:rsidRDefault="00000000">
      <w:pPr>
        <w:pStyle w:val="Listaconvietas"/>
        <w:spacing w:after="80"/>
      </w:pPr>
      <w:r>
        <w:rPr>
          <w:rFonts w:ascii="Calibri" w:hAnsi="Calibri"/>
        </w:rPr>
        <w:t xml:space="preserve">depender de respuestas de terceros (Gobierno Digital, Contraloría/SIAPER, </w:t>
      </w:r>
      <w:proofErr w:type="spellStart"/>
      <w:r>
        <w:rPr>
          <w:rFonts w:ascii="Calibri" w:hAnsi="Calibri"/>
        </w:rPr>
        <w:t>ChileCompra</w:t>
      </w:r>
      <w:proofErr w:type="spellEnd"/>
      <w:r>
        <w:rPr>
          <w:rFonts w:ascii="Calibri" w:hAnsi="Calibri"/>
        </w:rPr>
        <w:t>, formatos de Contraloría y DIPRES);</w:t>
      </w:r>
    </w:p>
    <w:p w14:paraId="574B98B3" w14:textId="77777777" w:rsidR="005C54C5" w:rsidRDefault="00000000">
      <w:pPr>
        <w:pStyle w:val="Listaconvietas"/>
        <w:spacing w:after="80"/>
      </w:pPr>
      <w:r>
        <w:rPr>
          <w:rFonts w:ascii="Calibri" w:hAnsi="Calibri"/>
        </w:rPr>
        <w:t>desalineación si se especifica módulo a módulo sin un gobierno transversal;</w:t>
      </w:r>
    </w:p>
    <w:p w14:paraId="0A2DEB64" w14:textId="77777777" w:rsidR="005C54C5" w:rsidRDefault="00000000">
      <w:pPr>
        <w:pStyle w:val="Listaconvietas"/>
        <w:spacing w:after="80"/>
      </w:pPr>
      <w:r>
        <w:rPr>
          <w:rFonts w:ascii="Calibri" w:hAnsi="Calibri"/>
        </w:rPr>
        <w:t>subestimar la coordinación entre módulos cuando un mismo hecho de negocio debe producir varios efectos;</w:t>
      </w:r>
    </w:p>
    <w:p w14:paraId="1EABFF12" w14:textId="77777777" w:rsidR="005C54C5" w:rsidRDefault="00000000">
      <w:pPr>
        <w:pStyle w:val="Listaconvietas"/>
        <w:spacing w:after="80"/>
      </w:pPr>
      <w:r>
        <w:rPr>
          <w:rFonts w:ascii="Calibri" w:hAnsi="Calibri"/>
        </w:rPr>
        <w:t>dejar implícito el soporte a los municipios piloto durante la transición.</w:t>
      </w:r>
    </w:p>
    <w:p w14:paraId="476521AB" w14:textId="77777777" w:rsidR="005C54C5" w:rsidRDefault="00000000">
      <w:pPr>
        <w:pStyle w:val="Ttulo2"/>
      </w:pPr>
      <w:r>
        <w:rPr>
          <w:rFonts w:ascii="Calibri" w:hAnsi="Calibri"/>
          <w:sz w:val="24"/>
        </w:rPr>
        <w:lastRenderedPageBreak/>
        <w:t>Continuidad del servicio para los municipios</w:t>
      </w:r>
    </w:p>
    <w:p w14:paraId="0DC96595" w14:textId="77777777" w:rsidR="005C54C5" w:rsidRDefault="00000000">
      <w:pPr>
        <w:spacing w:after="160"/>
      </w:pPr>
      <w:r>
        <w:rPr>
          <w:rFonts w:ascii="Calibri" w:hAnsi="Calibri"/>
        </w:rPr>
        <w:t xml:space="preserve">Los cinco municipios piloto no quedan sin sistema: continúan sobre la base </w:t>
      </w:r>
      <w:proofErr w:type="spellStart"/>
      <w:r>
        <w:rPr>
          <w:rFonts w:ascii="Calibri" w:hAnsi="Calibri"/>
        </w:rPr>
        <w:t>Odoo</w:t>
      </w:r>
      <w:proofErr w:type="spellEnd"/>
      <w:r>
        <w:rPr>
          <w:rFonts w:ascii="Calibri" w:hAnsi="Calibri"/>
        </w:rPr>
        <w:t xml:space="preserve"> durante la transición. Lo que sí está pendiente de decisión de jefatura es el nivel de soporte en esos 18 a 24 meses: soporte pleno hasta el corte; soporte correctivo mínimo; o ausencia de compromiso formal. El objetivo original de «cinco pilotos con cinco módulos funcionando en </w:t>
      </w:r>
      <w:proofErr w:type="spellStart"/>
      <w:r>
        <w:rPr>
          <w:rFonts w:ascii="Calibri" w:hAnsi="Calibri"/>
        </w:rPr>
        <w:t>Odoo</w:t>
      </w:r>
      <w:proofErr w:type="spellEnd"/>
      <w:r>
        <w:rPr>
          <w:rFonts w:ascii="Calibri" w:hAnsi="Calibri"/>
        </w:rPr>
        <w:t xml:space="preserve"> hacia fin de 2026» queda sin vigencia en esa forma.</w:t>
      </w:r>
    </w:p>
    <w:p w14:paraId="024AAB0C" w14:textId="77777777" w:rsidR="005C54C5" w:rsidRDefault="00000000">
      <w:pPr>
        <w:pStyle w:val="Ttulo1"/>
      </w:pPr>
      <w:r>
        <w:rPr>
          <w:rFonts w:ascii="Calibri" w:hAnsi="Calibri"/>
        </w:rPr>
        <w:t>D) Qué se reutiliza y cómo se resguarda la inversión ya realizada</w:t>
      </w:r>
    </w:p>
    <w:p w14:paraId="05909B64" w14:textId="77777777" w:rsidR="005C54C5" w:rsidRDefault="00000000">
      <w:pPr>
        <w:spacing w:after="160"/>
      </w:pPr>
      <w:r>
        <w:rPr>
          <w:rFonts w:ascii="Calibri" w:hAnsi="Calibri"/>
        </w:rPr>
        <w:t xml:space="preserve">El cambio de </w:t>
      </w:r>
      <w:proofErr w:type="spellStart"/>
      <w:r>
        <w:rPr>
          <w:rFonts w:ascii="Calibri" w:hAnsi="Calibri"/>
        </w:rPr>
        <w:t>stack</w:t>
      </w:r>
      <w:proofErr w:type="spellEnd"/>
      <w:r>
        <w:rPr>
          <w:rFonts w:ascii="Calibri" w:hAnsi="Calibri"/>
        </w:rPr>
        <w:t xml:space="preserve"> no implica desechar la inversión. Lo realizado sobre </w:t>
      </w:r>
      <w:proofErr w:type="spellStart"/>
      <w:r>
        <w:rPr>
          <w:rFonts w:ascii="Calibri" w:hAnsi="Calibri"/>
        </w:rPr>
        <w:t>Odoo</w:t>
      </w:r>
      <w:proofErr w:type="spellEnd"/>
      <w:r>
        <w:rPr>
          <w:rFonts w:ascii="Calibri" w:hAnsi="Calibri"/>
        </w:rPr>
        <w:t xml:space="preserve"> se reutiliza como especificación y requisito —qué debe hacer el sistema—, no como la arquitectura de la plataforma. En ese sentido, el prototipo y la auditoría no son un fracaso a borrar: son la evidencia que permite licitar con mayor precisión:</w:t>
      </w:r>
    </w:p>
    <w:p w14:paraId="17A60F5E" w14:textId="77777777" w:rsidR="005C54C5" w:rsidRDefault="00000000">
      <w:pPr>
        <w:pStyle w:val="Listaconnmeros"/>
        <w:spacing w:after="80"/>
      </w:pPr>
      <w:r>
        <w:rPr>
          <w:rFonts w:ascii="Calibri" w:hAnsi="Calibri"/>
        </w:rPr>
        <w:t>Los diagramas de proceso y el levantamiento de los 42 procesos en seis módulos, independientes de la herramienta de implementación.</w:t>
      </w:r>
    </w:p>
    <w:p w14:paraId="58A850EB" w14:textId="77777777" w:rsidR="005C54C5" w:rsidRDefault="00000000">
      <w:pPr>
        <w:pStyle w:val="Listaconnmeros"/>
        <w:spacing w:after="80"/>
      </w:pPr>
      <w:r>
        <w:rPr>
          <w:rFonts w:ascii="Calibri" w:hAnsi="Calibri"/>
        </w:rPr>
        <w:t xml:space="preserve">La ficha de auditoría de Adquisiciones (67 puntos): cada hallazgo se traduce de «error a corregir en </w:t>
      </w:r>
      <w:proofErr w:type="spellStart"/>
      <w:r>
        <w:rPr>
          <w:rFonts w:ascii="Calibri" w:hAnsi="Calibri"/>
        </w:rPr>
        <w:t>Odoo</w:t>
      </w:r>
      <w:proofErr w:type="spellEnd"/>
      <w:r>
        <w:rPr>
          <w:rFonts w:ascii="Calibri" w:hAnsi="Calibri"/>
        </w:rPr>
        <w:t>» a «requisito que el sistema nuevo debe cumplir».</w:t>
      </w:r>
    </w:p>
    <w:p w14:paraId="4C3538C6" w14:textId="77777777" w:rsidR="005C54C5" w:rsidRDefault="00000000">
      <w:pPr>
        <w:pStyle w:val="Listaconnmeros"/>
        <w:spacing w:after="80"/>
      </w:pPr>
      <w:r>
        <w:rPr>
          <w:rFonts w:ascii="Calibri" w:hAnsi="Calibri"/>
        </w:rPr>
        <w:t>El modelo de datos y las relaciones extraídos del código del prototipo, luego rediseñados: expediente de compra unificado, modalidades de compra separadas, cadena de compromiso presupuestario, liquidación de remuneraciones, caja como sesión con estados, entre otros.</w:t>
      </w:r>
    </w:p>
    <w:p w14:paraId="30CFED94" w14:textId="77777777" w:rsidR="005C54C5" w:rsidRDefault="00000000">
      <w:pPr>
        <w:pStyle w:val="Listaconnmeros"/>
        <w:spacing w:after="80"/>
      </w:pPr>
      <w:r>
        <w:rPr>
          <w:rFonts w:ascii="Calibri" w:hAnsi="Calibri"/>
        </w:rPr>
        <w:t>Las capacidades del prototipo que sí operan —equilibrio presupuestario, decreto de pago con asiento, escala remuneratoria, recepción desde SEM como semántica de ingreso externo— como requisitos candidatos, siempre contrastados con la norma y el levantamiento.</w:t>
      </w:r>
    </w:p>
    <w:p w14:paraId="33DA24F4" w14:textId="77777777" w:rsidR="005C54C5" w:rsidRDefault="00000000">
      <w:pPr>
        <w:pStyle w:val="Listaconnmeros"/>
        <w:spacing w:after="80"/>
      </w:pPr>
      <w:r>
        <w:rPr>
          <w:rFonts w:ascii="Calibri" w:hAnsi="Calibri"/>
        </w:rPr>
        <w:t>El método de especificación ya aplicado en Adquisiciones: fichas de proceso, entidades, contratos de intercambio entre módulos y bocetos de pantalla; más parámetros normativos configurables con vigencia temporal.</w:t>
      </w:r>
    </w:p>
    <w:p w14:paraId="52C8647B" w14:textId="77777777" w:rsidR="005C54C5" w:rsidRDefault="00000000">
      <w:pPr>
        <w:pStyle w:val="Listaconnmeros"/>
        <w:spacing w:after="80"/>
      </w:pPr>
      <w:r>
        <w:rPr>
          <w:rFonts w:ascii="Calibri" w:hAnsi="Calibri"/>
        </w:rPr>
        <w:t>Lecciones de seguridad convertidas en exigencias de recepción: no dejar secretos en registros de sistema; cero canales de escritura sobre dinero municipal sin autenticación —incluida la lección del canal SEM—.</w:t>
      </w:r>
    </w:p>
    <w:p w14:paraId="6CC3933B" w14:textId="77777777" w:rsidR="005C54C5" w:rsidRDefault="00000000">
      <w:pPr>
        <w:pStyle w:val="Listaconnmeros"/>
        <w:spacing w:after="80"/>
      </w:pPr>
      <w:r>
        <w:rPr>
          <w:rFonts w:ascii="Calibri" w:hAnsi="Calibri"/>
        </w:rPr>
        <w:t>Lecciones del contrato anterior: el proveedor del desarrollo original lanzó después un ERP municipal propio construido sobre el conocimiento de dominio adquirido durante el contrato con SUBDERE, en ausencia de cláusulas robustas de propiedad intelectual. Con independencia de acciones jurídicas aún por evaluar, ello fundamenta exigir propiedad estatal del código, portabilidad y una especificación pública lo bastante completa como para diluir ventajas informativas en la próxima licitación.</w:t>
      </w:r>
    </w:p>
    <w:p w14:paraId="25F42264" w14:textId="77777777" w:rsidR="005C54C5" w:rsidRDefault="00000000">
      <w:pPr>
        <w:spacing w:after="160"/>
      </w:pPr>
      <w:r>
        <w:rPr>
          <w:rFonts w:ascii="Calibri" w:hAnsi="Calibri"/>
        </w:rPr>
        <w:t xml:space="preserve">No se reutiliza la forma interna de </w:t>
      </w:r>
      <w:proofErr w:type="spellStart"/>
      <w:r>
        <w:rPr>
          <w:rFonts w:ascii="Calibri" w:hAnsi="Calibri"/>
        </w:rPr>
        <w:t>Odoo</w:t>
      </w:r>
      <w:proofErr w:type="spellEnd"/>
      <w:r>
        <w:rPr>
          <w:rFonts w:ascii="Calibri" w:hAnsi="Calibri"/>
        </w:rPr>
        <w:t xml:space="preserve"> como contrato hacia terceros; el formulario único de modalidad y resolución de compra; las firmas como simples marcas en pantalla; ni el patrón de canal externo sin autenticación.</w:t>
      </w:r>
    </w:p>
    <w:p w14:paraId="21D815CB" w14:textId="77777777" w:rsidR="005C54C5" w:rsidRDefault="00000000">
      <w:pPr>
        <w:spacing w:after="240"/>
      </w:pPr>
      <w:r>
        <w:rPr>
          <w:rFonts w:ascii="Calibri" w:hAnsi="Calibri"/>
        </w:rPr>
        <w:t xml:space="preserve">La inversión se resguarda porque el activo que sobrevive al cambio de plataforma es el conocimiento de dominio ya financiado por el Estado, documentado y custodiado por SUBDERE. La vara de calidad es que dos equipos independientes puedan construir sistemas funcionalmente equivalentes solo con esa </w:t>
      </w:r>
      <w:r>
        <w:rPr>
          <w:rFonts w:ascii="Calibri" w:hAnsi="Calibri"/>
        </w:rPr>
        <w:lastRenderedPageBreak/>
        <w:t>especificación. Así, lo gastado en levantamiento, piloto, auditoría y contraste con código no se pierde: se convierte en el insumo de las bases y en el estándar contra el cual se recibe al adjudicatario.</w:t>
      </w:r>
    </w:p>
    <w:sectPr w:rsidR="005C54C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E783C8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962EE8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6421F4A"/>
    <w:multiLevelType w:val="hybridMultilevel"/>
    <w:tmpl w:val="0674D2A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19399290">
    <w:abstractNumId w:val="8"/>
  </w:num>
  <w:num w:numId="2" w16cid:durableId="1656031549">
    <w:abstractNumId w:val="6"/>
  </w:num>
  <w:num w:numId="3" w16cid:durableId="882979417">
    <w:abstractNumId w:val="5"/>
  </w:num>
  <w:num w:numId="4" w16cid:durableId="1727988283">
    <w:abstractNumId w:val="4"/>
  </w:num>
  <w:num w:numId="5" w16cid:durableId="229854878">
    <w:abstractNumId w:val="7"/>
  </w:num>
  <w:num w:numId="6" w16cid:durableId="1393693919">
    <w:abstractNumId w:val="3"/>
  </w:num>
  <w:num w:numId="7" w16cid:durableId="1465466758">
    <w:abstractNumId w:val="2"/>
  </w:num>
  <w:num w:numId="8" w16cid:durableId="903681961">
    <w:abstractNumId w:val="1"/>
  </w:num>
  <w:num w:numId="9" w16cid:durableId="1451120864">
    <w:abstractNumId w:val="0"/>
  </w:num>
  <w:num w:numId="10" w16cid:durableId="797063154">
    <w:abstractNumId w:val="9"/>
  </w:num>
  <w:num w:numId="11" w16cid:durableId="1976255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FC6"/>
    <w:rsid w:val="005C54C5"/>
    <w:rsid w:val="00893C24"/>
    <w:rsid w:val="00AA1D8D"/>
    <w:rsid w:val="00B47730"/>
    <w:rsid w:val="00CB0664"/>
    <w:rsid w:val="00EC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A7D25"/>
  <w14:defaultImageDpi w14:val="300"/>
  <w15:docId w15:val="{608DF4C5-E37E-4078-B041-5144C8E4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2710</Words>
  <Characters>14910</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hernández elgueta</cp:lastModifiedBy>
  <cp:revision>2</cp:revision>
  <dcterms:created xsi:type="dcterms:W3CDTF">2013-12-23T23:15:00Z</dcterms:created>
  <dcterms:modified xsi:type="dcterms:W3CDTF">2026-09-25T19:52:00Z</dcterms:modified>
  <cp:category/>
</cp:coreProperties>
</file>