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Cambios</w:t>
      </w:r>
      <w:r>
        <w:t xml:space="preserve"> </w:t>
      </w:r>
      <w:r>
        <w:t xml:space="preserve">sobre</w:t>
      </w:r>
      <w:r>
        <w:t xml:space="preserve"> </w:t>
      </w:r>
      <w:r>
        <w:t xml:space="preserve">la</w:t>
      </w:r>
      <w:r>
        <w:t xml:space="preserve"> </w:t>
      </w:r>
      <w:r>
        <w:t xml:space="preserve">primera</w:t>
      </w:r>
      <w:r>
        <w:t xml:space="preserve"> </w:t>
      </w:r>
      <w:r>
        <w:t xml:space="preserve">versión</w:t>
      </w:r>
    </w:p>
    <w:p>
      <w:pPr>
        <w:pStyle w:val="Subtitle"/>
      </w:pPr>
      <w:r>
        <w:t xml:space="preserve">SGM</w:t>
      </w:r>
      <w:r>
        <w:t xml:space="preserve"> </w:t>
      </w:r>
      <w:r>
        <w:t xml:space="preserve">—</w:t>
      </w:r>
      <w:r>
        <w:t xml:space="preserve"> </w:t>
      </w:r>
      <w:r>
        <w:t xml:space="preserve">Estado,</w:t>
      </w:r>
      <w:r>
        <w:t xml:space="preserve"> </w:t>
      </w:r>
      <w:r>
        <w:t xml:space="preserve">alternativas</w:t>
      </w:r>
      <w:r>
        <w:t xml:space="preserve"> </w:t>
      </w:r>
      <w:r>
        <w:t xml:space="preserve">y</w:t>
      </w:r>
      <w:r>
        <w:t xml:space="preserve"> </w:t>
      </w:r>
      <w:r>
        <w:t xml:space="preserve">segunda</w:t>
      </w:r>
      <w:r>
        <w:t xml:space="preserve"> </w:t>
      </w:r>
      <w:r>
        <w:t xml:space="preserve">etapa</w:t>
      </w:r>
      <w:r>
        <w:t xml:space="preserve"> </w:t>
      </w:r>
      <w:r>
        <w:t xml:space="preserve">·</w:t>
      </w:r>
      <w:r>
        <w:t xml:space="preserve"> </w:t>
      </w:r>
      <w:r>
        <w:t xml:space="preserve">guía</w:t>
      </w:r>
      <w:r>
        <w:t xml:space="preserve"> </w:t>
      </w:r>
      <w:r>
        <w:t xml:space="preserve">para</w:t>
      </w:r>
      <w:r>
        <w:t xml:space="preserve"> </w:t>
      </w:r>
      <w:r>
        <w:t xml:space="preserve">aplicar</w:t>
      </w:r>
      <w:r>
        <w:t xml:space="preserve"> </w:t>
      </w:r>
      <w:r>
        <w:t xml:space="preserve">sobre</w:t>
      </w:r>
      <w:r>
        <w:t xml:space="preserve"> </w:t>
      </w:r>
      <w:r>
        <w:t xml:space="preserve">el</w:t>
      </w:r>
      <w:r>
        <w:t xml:space="preserve"> </w:t>
      </w:r>
      <w:r>
        <w:t xml:space="preserve">documento</w:t>
      </w:r>
      <w:r>
        <w:t xml:space="preserve"> </w:t>
      </w:r>
      <w:r>
        <w:t xml:space="preserve">ya</w:t>
      </w:r>
      <w:r>
        <w:t xml:space="preserve"> </w:t>
      </w:r>
      <w:r>
        <w:t xml:space="preserve">editado</w:t>
      </w:r>
      <w:r>
        <w:t xml:space="preserve"> </w:t>
      </w:r>
      <w:r>
        <w:t xml:space="preserve">en</w:t>
      </w:r>
      <w:r>
        <w:t xml:space="preserve"> </w:t>
      </w:r>
      <w:r>
        <w:t xml:space="preserve">línea</w:t>
      </w:r>
    </w:p>
    <w:p>
      <w:pPr>
        <w:pStyle w:val="Date"/>
      </w:pPr>
      <w:r>
        <w:t xml:space="preserve">Septiembre</w:t>
      </w:r>
      <w:r>
        <w:t xml:space="preserve"> </w:t>
      </w:r>
      <w:r>
        <w:t xml:space="preserve">de</w:t>
      </w:r>
      <w:r>
        <w:t xml:space="preserve"> </w:t>
      </w:r>
      <w:r>
        <w:t xml:space="preserve">2026</w:t>
      </w:r>
    </w:p>
    <w:p>
      <w:pPr>
        <w:pStyle w:val="FirstParagraph"/>
      </w:pPr>
      <w:r>
        <w:t xml:space="preserve">Son</w:t>
      </w:r>
      <w:r>
        <w:t xml:space="preserve"> </w:t>
      </w:r>
      <w:r>
        <w:rPr>
          <w:bCs/>
          <w:b/>
        </w:rPr>
        <w:t xml:space="preserve">11 cambios</w:t>
      </w:r>
      <w:r>
        <w:t xml:space="preserve">. Los tres primeros son los grandes (una sección nueva y una renumeración); el resto son párrafos y viñetas puntuales. Cada bloque indica dónde, qué hacer, y el texto exacto a pegar.</w:t>
      </w:r>
    </w:p>
    <w:p>
      <w:r>
        <w:pict>
          <v:rect style="width:0;height:1.5pt" o:hralign="center" o:hrstd="t" o:hr="t"/>
        </w:pict>
      </w:r>
    </w:p>
    <w:bookmarkStart w:id="20" w:name="X82c04a522e08dad95331f78f4ba8157f2c584fb"/>
    <w:p>
      <w:pPr>
        <w:pStyle w:val="Heading1"/>
      </w:pPr>
      <w:r>
        <w:t xml:space="preserve">1 · Sección 2.2 «Qué se obtuvo» — reemplazar las dos últimas viñetas</w:t>
      </w:r>
    </w:p>
    <w:p>
      <w:pPr>
        <w:pStyle w:val="FirstParagraph"/>
      </w:pPr>
      <w:r>
        <w:rPr>
          <w:bCs/>
          <w:b/>
        </w:rPr>
        <w:t xml:space="preserve">Dónde:</w:t>
      </w:r>
      <w:r>
        <w:t xml:space="preserve"> </w:t>
      </w:r>
      <w:r>
        <w:t xml:space="preserve">al final de la lista de activos.</w:t>
      </w:r>
    </w:p>
    <w:p>
      <w:pPr>
        <w:pStyle w:val="BodyText"/>
      </w:pPr>
      <w:r>
        <w:rPr>
          <w:bCs/>
          <w:b/>
        </w:rPr>
        <w:t xml:space="preserve">Eliminar</w:t>
      </w:r>
      <w:r>
        <w:t xml:space="preserve"> </w:t>
      </w:r>
      <w:r>
        <w:t xml:space="preserve">la viñeta que empieza «Una auditoría de calidad del módulo de Adquisiciones (julio de 2026) con 67 puntos documentados…» y la que empieza «Un criterio de recepción que antes no existía…».</w:t>
      </w:r>
    </w:p>
    <w:p>
      <w:pPr>
        <w:pStyle w:val="BodyText"/>
      </w:pPr>
      <w:r>
        <w:rPr>
          <w:bCs/>
          <w:b/>
        </w:rPr>
        <w:t xml:space="preserve">Pegar en su lugar:</w:t>
      </w:r>
    </w:p>
    <w:p>
      <w:pPr>
        <w:numPr>
          <w:ilvl w:val="0"/>
          <w:numId w:val="1001"/>
        </w:numPr>
        <w:pStyle w:val="Compact"/>
      </w:pPr>
      <w:r>
        <w:rPr>
          <w:bCs/>
          <w:b/>
        </w:rPr>
        <w:t xml:space="preserve">Un control de calidad interno completo sobre los seis módulos (junio–julio de 2026), con 188 hallazgos documentados</w:t>
      </w:r>
      <w:r>
        <w:t xml:space="preserve">, clasificados por severidad, categoría de error y respaldo normativo, y con estimación de esfuerzo de remediación en el módulo de mayor cobertura.</w:t>
      </w:r>
    </w:p>
    <w:p>
      <w:pPr>
        <w:numPr>
          <w:ilvl w:val="0"/>
          <w:numId w:val="1001"/>
        </w:numPr>
        <w:pStyle w:val="Compact"/>
      </w:pPr>
      <w:r>
        <w:rPr>
          <w:bCs/>
          <w:b/>
        </w:rPr>
        <w:t xml:space="preserve">Una revisión del código del sistema contra el levantamiento de procesos</w:t>
      </w:r>
      <w:r>
        <w:t xml:space="preserve"> </w:t>
      </w:r>
      <w:r>
        <w:t xml:space="preserve">(julio de 2026).</w:t>
      </w:r>
    </w:p>
    <w:p>
      <w:pPr>
        <w:numPr>
          <w:ilvl w:val="0"/>
          <w:numId w:val="1001"/>
        </w:numPr>
        <w:pStyle w:val="Compact"/>
      </w:pPr>
      <w:r>
        <w:rPr>
          <w:bCs/>
          <w:b/>
        </w:rPr>
        <w:t xml:space="preserve">Un criterio de recepción que antes no existía</w:t>
      </w:r>
      <w:r>
        <w:t xml:space="preserve">, derivado de ese trabajo, y que se describe en la sección 3.</w:t>
      </w:r>
    </w:p>
    <w:p>
      <w:r>
        <w:pict>
          <v:rect style="width:0;height:1.5pt" o:hralign="center" o:hrstd="t" o:hr="t"/>
        </w:pict>
      </w:r>
    </w:p>
    <w:bookmarkEnd w:id="20"/>
    <w:bookmarkStart w:id="21" w:name="X934506de2303336d422acbfeb7840e401e87bc2"/>
    <w:p>
      <w:pPr>
        <w:pStyle w:val="Heading1"/>
      </w:pPr>
      <w:r>
        <w:t xml:space="preserve">2 · Sección 2.3 — título, y partir en dos la última fila de la tabla</w:t>
      </w:r>
    </w:p>
    <w:p>
      <w:pPr>
        <w:pStyle w:val="FirstParagraph"/>
      </w:pPr>
      <w:r>
        <w:rPr>
          <w:bCs/>
          <w:b/>
        </w:rPr>
        <w:t xml:space="preserve">Título:</w:t>
      </w:r>
      <w:r>
        <w:t xml:space="preserve"> </w:t>
      </w:r>
      <w:r>
        <w:t xml:space="preserve">cambiar «Estado de lo desarrollado» por</w:t>
      </w:r>
      <w:r>
        <w:t xml:space="preserve"> </w:t>
      </w:r>
      <w:r>
        <w:rPr>
          <w:bCs/>
          <w:b/>
        </w:rPr>
        <w:t xml:space="preserve">«Estado de lo desarrollado, por módulo»</w:t>
      </w:r>
      <w:r>
        <w:t xml:space="preserve">.</w:t>
      </w:r>
    </w:p>
    <w:p>
      <w:pPr>
        <w:pStyle w:val="BodyText"/>
      </w:pPr>
      <w:r>
        <w:rPr>
          <w:bCs/>
          <w:b/>
        </w:rPr>
        <w:t xml:space="preserve">Primera fila:</w:t>
      </w:r>
      <w:r>
        <w:t xml:space="preserve"> </w:t>
      </w:r>
      <w:r>
        <w:t xml:space="preserve">cambiar «Presupuesto» por</w:t>
      </w:r>
      <w:r>
        <w:t xml:space="preserve"> </w:t>
      </w:r>
      <w:r>
        <w:rPr>
          <w:bCs/>
          <w:b/>
        </w:rPr>
        <w:t xml:space="preserve">«Presupuestos»</w:t>
      </w:r>
      <w:r>
        <w:t xml:space="preserve">.</w:t>
      </w:r>
    </w:p>
    <w:p>
      <w:pPr>
        <w:pStyle w:val="BodyText"/>
      </w:pPr>
      <w:r>
        <w:rPr>
          <w:bCs/>
          <w:b/>
        </w:rPr>
        <w:t xml:space="preserve">Última fila:</w:t>
      </w:r>
      <w:r>
        <w:t xml:space="preserve"> </w:t>
      </w:r>
      <w:r>
        <w:t xml:space="preserve">eliminar la fila «Personal y Remuneraciones» y reemplazarla por estas 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Ámbito</w:t>
            </w:r>
          </w:p>
        </w:tc>
        <w:tc>
          <w:tcPr/>
          <w:p>
            <w:pPr>
              <w:pStyle w:val="Compact"/>
              <w:jc w:val="left"/>
            </w:pPr>
            <w:r>
              <w:t xml:space="preserve">Capacidad construida y verificada</w:t>
            </w:r>
          </w:p>
        </w:tc>
        <w:tc>
          <w:tcPr/>
          <w:p>
            <w:pPr>
              <w:pStyle w:val="Compact"/>
              <w:jc w:val="left"/>
            </w:pPr>
            <w:r>
              <w:t xml:space="preserve">Brecha respecto de un sistema integrado</w:t>
            </w:r>
          </w:p>
        </w:tc>
      </w:tr>
      <w:tr>
        <w:tc>
          <w:tcPr/>
          <w:p>
            <w:pPr>
              <w:pStyle w:val="Compact"/>
              <w:jc w:val="left"/>
            </w:pPr>
            <w:r>
              <w:rPr>
                <w:bCs/>
                <w:b/>
              </w:rPr>
              <w:t xml:space="preserve">Personal</w:t>
            </w:r>
          </w:p>
        </w:tc>
        <w:tc>
          <w:tcPr/>
          <w:p>
            <w:pPr>
              <w:pStyle w:val="Compact"/>
              <w:jc w:val="left"/>
            </w:pPr>
            <w:r>
              <w:t xml:space="preserve">Fichas de funcionarios y procesos de incorporación, cese y desvinculación modelados en pantalla</w:t>
            </w:r>
          </w:p>
        </w:tc>
        <w:tc>
          <w:tcPr/>
          <w:p>
            <w:pPr>
              <w:pStyle w:val="Compact"/>
              <w:jc w:val="left"/>
            </w:pPr>
            <w:r>
              <w:t xml:space="preserve">Registro en SIAPER ausente en cese y desvinculación; sin causal legal obligatoria al desvincular; sin validación de topes legales de horas extras ni de disponibilidad presupuestaria al planificarlas</w:t>
            </w:r>
          </w:p>
        </w:tc>
      </w:tr>
      <w:tr>
        <w:tc>
          <w:tcPr/>
          <w:p>
            <w:pPr>
              <w:pStyle w:val="Compact"/>
              <w:jc w:val="left"/>
            </w:pPr>
            <w:r>
              <w:rPr>
                <w:bCs/>
                <w:b/>
              </w:rPr>
              <w:t xml:space="preserve">Remuneraciones</w:t>
            </w:r>
          </w:p>
        </w:tc>
        <w:tc>
          <w:tcPr/>
          <w:p>
            <w:pPr>
              <w:pStyle w:val="Compact"/>
              <w:jc w:val="left"/>
            </w:pPr>
            <w:r>
              <w:t xml:space="preserve">Liquidación de remuneraciones, escala municipal, puente hacia contabilidad</w:t>
            </w:r>
          </w:p>
        </w:tc>
        <w:tc>
          <w:tcPr/>
          <w:p>
            <w:pPr>
              <w:pStyle w:val="Compact"/>
              <w:jc w:val="left"/>
            </w:pPr>
            <w:r>
              <w:t xml:space="preserve">Consulta de disponibilidad presupuestaria al contratar; control de cupo; validadores del 42 % y del 20 %; dos catálogos distintos para «calidad jurídica»; declaraciones juradas sin validación jurídica</w:t>
            </w:r>
          </w:p>
        </w:tc>
      </w:tr>
    </w:tbl>
    <w:p>
      <w:r>
        <w:pict>
          <v:rect style="width:0;height:1.5pt" o:hralign="center" o:hrstd="t" o:hr="t"/>
        </w:pict>
      </w:r>
    </w:p>
    <w:bookmarkEnd w:id="21"/>
    <w:bookmarkStart w:id="23" w:name="Xf1ca1603f98573e9b313ab639e3a791d20b8e9d"/>
    <w:p>
      <w:pPr>
        <w:pStyle w:val="Heading1"/>
      </w:pPr>
      <w:r>
        <w:t xml:space="preserve">3 · Sección nueva 2.4, y renumeración del resto</w:t>
      </w:r>
    </w:p>
    <w:p>
      <w:pPr>
        <w:pStyle w:val="FirstParagraph"/>
      </w:pPr>
      <w:r>
        <w:rPr>
          <w:bCs/>
          <w:b/>
        </w:rPr>
        <w:t xml:space="preserve">Dónde:</w:t>
      </w:r>
      <w:r>
        <w:t xml:space="preserve"> </w:t>
      </w:r>
      <w:r>
        <w:t xml:space="preserve">insertar íntegra</w:t>
      </w:r>
      <w:r>
        <w:t xml:space="preserve"> </w:t>
      </w:r>
      <w:r>
        <w:rPr>
          <w:bCs/>
          <w:b/>
        </w:rPr>
        <w:t xml:space="preserve">después</w:t>
      </w:r>
      <w:r>
        <w:t xml:space="preserve"> </w:t>
      </w:r>
      <w:r>
        <w:t xml:space="preserve">de la tabla de 2.3 y</w:t>
      </w:r>
      <w:r>
        <w:t xml:space="preserve"> </w:t>
      </w:r>
      <w:r>
        <w:rPr>
          <w:bCs/>
          <w:b/>
        </w:rPr>
        <w:t xml:space="preserve">antes</w:t>
      </w:r>
      <w:r>
        <w:t xml:space="preserve"> </w:t>
      </w:r>
      <w:r>
        <w:t xml:space="preserve">de la sección que hoy se llama «2.4 Las cuatro brechas…».</w:t>
      </w:r>
    </w:p>
    <w:p>
      <w:pPr>
        <w:pStyle w:val="BodyText"/>
      </w:pPr>
      <w:r>
        <w:rPr>
          <w:bCs/>
          <w:b/>
        </w:rPr>
        <w:t xml:space="preserve">Renumerar después de insertarla:</w:t>
      </w:r>
      <w:r>
        <w:t xml:space="preserve"> </w:t>
      </w:r>
      <w:r>
        <w:t xml:space="preserve">la actual 2.4 pasa a</w:t>
      </w:r>
      <w:r>
        <w:t xml:space="preserve"> </w:t>
      </w:r>
      <w:r>
        <w:rPr>
          <w:bCs/>
          <w:b/>
        </w:rPr>
        <w:t xml:space="preserve">2.5</w:t>
      </w:r>
      <w:r>
        <w:t xml:space="preserve"> </w:t>
      </w:r>
      <w:r>
        <w:t xml:space="preserve">(y su título cambia a «Las cuatro brechas</w:t>
      </w:r>
      <w:r>
        <w:t xml:space="preserve"> </w:t>
      </w:r>
      <w:r>
        <w:rPr>
          <w:bCs/>
          <w:b/>
        </w:rPr>
        <w:t xml:space="preserve">estructurales</w:t>
      </w:r>
      <w:r>
        <w:t xml:space="preserve">, y por qué no se resuelven sobre la base actual»); la actual 2.5 pasa a</w:t>
      </w:r>
      <w:r>
        <w:t xml:space="preserve"> </w:t>
      </w:r>
      <w:r>
        <w:rPr>
          <w:bCs/>
          <w:b/>
        </w:rPr>
        <w:t xml:space="preserve">2.6</w:t>
      </w:r>
      <w:r>
        <w:t xml:space="preserve">; la actual 2.6 pasa a</w:t>
      </w:r>
      <w:r>
        <w:t xml:space="preserve"> </w:t>
      </w:r>
      <w:r>
        <w:rPr>
          <w:bCs/>
          <w:b/>
        </w:rPr>
        <w:t xml:space="preserve">2.7</w:t>
      </w:r>
      <w:r>
        <w:t xml:space="preserve">.</w:t>
      </w:r>
    </w:p>
    <w:p>
      <w:pPr>
        <w:pStyle w:val="BodyText"/>
      </w:pPr>
      <w:r>
        <w:rPr>
          <w:bCs/>
          <w:b/>
        </w:rPr>
        <w:t xml:space="preserve">Texto a pegar:</w:t>
      </w:r>
    </w:p>
    <w:bookmarkStart w:id="22" w:name="X89da8f9ef7196f09f5ebcb1f1b9ce10158c8a22"/>
    <w:p>
      <w:pPr>
        <w:pStyle w:val="Heading2"/>
      </w:pPr>
      <w:r>
        <w:t xml:space="preserve">2.4 El control de calidad interno sobre los seis módulos</w:t>
      </w:r>
    </w:p>
    <w:p>
      <w:pPr>
        <w:pStyle w:val="FirstParagraph"/>
      </w:pPr>
      <w:r>
        <w:t xml:space="preserve">Entre el 4 de junio y el 1 de julio de 2026, SUBDERE ejecutó con equipo propio una revisión funcional sistemática de los seis módulos, en la que cada hallazgo se registró con su funcionalidad, detalle, categoría de error, severidad, carácter invalidante del proceso y —cuando corresponde— la cláusula de la Intención de Compra que lo respalda.</w:t>
      </w:r>
    </w:p>
    <w:p>
      <w:pPr>
        <w:pStyle w:val="BodyText"/>
      </w:pPr>
      <w:r>
        <w:t xml:space="preserve">El resultado son</w:t>
      </w:r>
      <w:r>
        <w:t xml:space="preserve"> </w:t>
      </w:r>
      <w:r>
        <w:rPr>
          <w:bCs/>
          <w:b/>
        </w:rPr>
        <w:t xml:space="preserve">188 hallazgos documentados</w:t>
      </w:r>
      <w:r>
        <w:t xml:space="preserve">:</w:t>
      </w:r>
    </w:p>
    <w:tbl>
      <w:tblPr>
        <w:tblStyle w:val="Table"/>
        <w:tblW w:type="pct" w:w="5000"/>
        <w:tblLook w:firstRow="1" w:lastRow="0" w:firstColumn="0" w:lastColumn="0" w:noHBand="0" w:noVBand="0" w:val="0020"/>
        <w:jc w:val="start"/>
      </w:tblPr>
      <w:tblGrid>
        <w:gridCol w:w="1250"/>
        <w:gridCol w:w="1667"/>
        <w:gridCol w:w="1667"/>
        <w:gridCol w:w="1667"/>
        <w:gridCol w:w="1667"/>
      </w:tblGrid>
      <w:tr>
        <w:trPr>
          <w:tblHeader w:val="true"/>
        </w:trPr>
        <w:tc>
          <w:tcPr/>
          <w:p>
            <w:pPr>
              <w:pStyle w:val="Compact"/>
              <w:jc w:val="left"/>
            </w:pPr>
            <w:r>
              <w:t xml:space="preserve">Módulo</w:t>
            </w:r>
          </w:p>
        </w:tc>
        <w:tc>
          <w:tcPr/>
          <w:p>
            <w:pPr>
              <w:pStyle w:val="Compact"/>
              <w:jc w:val="right"/>
            </w:pPr>
            <w:r>
              <w:t xml:space="preserve">Hallazgos</w:t>
            </w:r>
          </w:p>
        </w:tc>
        <w:tc>
          <w:tcPr/>
          <w:p>
            <w:pPr>
              <w:pStyle w:val="Compact"/>
              <w:jc w:val="right"/>
            </w:pPr>
            <w:r>
              <w:t xml:space="preserve">Críticos</w:t>
            </w:r>
          </w:p>
        </w:tc>
        <w:tc>
          <w:tcPr/>
          <w:p>
            <w:pPr>
              <w:pStyle w:val="Compact"/>
              <w:jc w:val="right"/>
            </w:pPr>
            <w:r>
              <w:t xml:space="preserve">Invalidantes</w:t>
            </w:r>
          </w:p>
        </w:tc>
        <w:tc>
          <w:tcPr/>
          <w:p>
            <w:pPr>
              <w:pStyle w:val="Compact"/>
              <w:jc w:val="right"/>
            </w:pPr>
            <w:r>
              <w:t xml:space="preserve">Con respaldo en la Intención de Compra</w:t>
            </w:r>
          </w:p>
        </w:tc>
      </w:tr>
      <w:tr>
        <w:tc>
          <w:tcPr/>
          <w:p>
            <w:pPr>
              <w:pStyle w:val="Compact"/>
              <w:jc w:val="left"/>
            </w:pPr>
            <w:r>
              <w:t xml:space="preserve">Adquisiciones</w:t>
            </w:r>
          </w:p>
        </w:tc>
        <w:tc>
          <w:tcPr/>
          <w:p>
            <w:pPr>
              <w:pStyle w:val="Compact"/>
              <w:jc w:val="right"/>
            </w:pPr>
            <w:r>
              <w:t xml:space="preserve">67</w:t>
            </w:r>
          </w:p>
        </w:tc>
        <w:tc>
          <w:tcPr/>
          <w:p>
            <w:pPr>
              <w:pStyle w:val="Compact"/>
              <w:jc w:val="right"/>
            </w:pPr>
            <w:r>
              <w:t xml:space="preserve">30</w:t>
            </w:r>
          </w:p>
        </w:tc>
        <w:tc>
          <w:tcPr/>
          <w:p>
            <w:pPr>
              <w:pStyle w:val="Compact"/>
              <w:jc w:val="right"/>
            </w:pPr>
            <w:r>
              <w:t xml:space="preserve">18</w:t>
            </w:r>
          </w:p>
        </w:tc>
        <w:tc>
          <w:tcPr/>
          <w:p>
            <w:pPr>
              <w:pStyle w:val="Compact"/>
              <w:jc w:val="right"/>
            </w:pPr>
            <w:r>
              <w:t xml:space="preserve">17</w:t>
            </w:r>
          </w:p>
        </w:tc>
      </w:tr>
      <w:tr>
        <w:tc>
          <w:tcPr/>
          <w:p>
            <w:pPr>
              <w:pStyle w:val="Compact"/>
              <w:jc w:val="left"/>
            </w:pPr>
            <w:r>
              <w:t xml:space="preserve">Personal</w:t>
            </w:r>
          </w:p>
        </w:tc>
        <w:tc>
          <w:tcPr/>
          <w:p>
            <w:pPr>
              <w:pStyle w:val="Compact"/>
              <w:jc w:val="right"/>
            </w:pPr>
            <w:r>
              <w:t xml:space="preserve">40</w:t>
            </w:r>
          </w:p>
        </w:tc>
        <w:tc>
          <w:tcPr/>
          <w:p>
            <w:pPr>
              <w:pStyle w:val="Compact"/>
              <w:jc w:val="right"/>
            </w:pPr>
            <w:r>
              <w:t xml:space="preserve">26</w:t>
            </w:r>
          </w:p>
        </w:tc>
        <w:tc>
          <w:tcPr/>
          <w:p>
            <w:pPr>
              <w:pStyle w:val="Compact"/>
              <w:jc w:val="right"/>
            </w:pPr>
            <w:r>
              <w:t xml:space="preserve">19</w:t>
            </w:r>
          </w:p>
        </w:tc>
        <w:tc>
          <w:tcPr/>
          <w:p>
            <w:pPr>
              <w:pStyle w:val="Compact"/>
              <w:jc w:val="right"/>
            </w:pPr>
            <w:r>
              <w:t xml:space="preserve">25</w:t>
            </w:r>
          </w:p>
        </w:tc>
      </w:tr>
      <w:tr>
        <w:tc>
          <w:tcPr/>
          <w:p>
            <w:pPr>
              <w:pStyle w:val="Compact"/>
              <w:jc w:val="left"/>
            </w:pPr>
            <w:r>
              <w:t xml:space="preserve">Remuneraciones</w:t>
            </w:r>
          </w:p>
        </w:tc>
        <w:tc>
          <w:tcPr/>
          <w:p>
            <w:pPr>
              <w:pStyle w:val="Compact"/>
              <w:jc w:val="right"/>
            </w:pPr>
            <w:r>
              <w:t xml:space="preserve">32</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23</w:t>
            </w:r>
          </w:p>
        </w:tc>
      </w:tr>
      <w:tr>
        <w:tc>
          <w:tcPr/>
          <w:p>
            <w:pPr>
              <w:pStyle w:val="Compact"/>
              <w:jc w:val="left"/>
            </w:pPr>
            <w:r>
              <w:t xml:space="preserve">Tesorería</w:t>
            </w:r>
          </w:p>
        </w:tc>
        <w:tc>
          <w:tcPr/>
          <w:p>
            <w:pPr>
              <w:pStyle w:val="Compact"/>
              <w:jc w:val="right"/>
            </w:pPr>
            <w:r>
              <w:t xml:space="preserve">28</w:t>
            </w:r>
          </w:p>
        </w:tc>
        <w:tc>
          <w:tcPr/>
          <w:p>
            <w:pPr>
              <w:pStyle w:val="Compact"/>
              <w:jc w:val="right"/>
            </w:pPr>
            <w:r>
              <w:t xml:space="preserve">9</w:t>
            </w:r>
          </w:p>
        </w:tc>
        <w:tc>
          <w:tcPr/>
          <w:p>
            <w:pPr>
              <w:pStyle w:val="Compact"/>
              <w:jc w:val="right"/>
            </w:pPr>
            <w:r>
              <w:t xml:space="preserve">1</w:t>
            </w:r>
          </w:p>
        </w:tc>
        <w:tc>
          <w:tcPr/>
          <w:p>
            <w:pPr>
              <w:pStyle w:val="Compact"/>
              <w:jc w:val="right"/>
            </w:pPr>
            <w:r>
              <w:t xml:space="preserve">—</w:t>
            </w:r>
          </w:p>
        </w:tc>
      </w:tr>
      <w:tr>
        <w:tc>
          <w:tcPr/>
          <w:p>
            <w:pPr>
              <w:pStyle w:val="Compact"/>
              <w:jc w:val="left"/>
            </w:pPr>
            <w:r>
              <w:t xml:space="preserve">Presupuestos</w:t>
            </w:r>
          </w:p>
        </w:tc>
        <w:tc>
          <w:tcPr/>
          <w:p>
            <w:pPr>
              <w:pStyle w:val="Compact"/>
              <w:jc w:val="right"/>
            </w:pPr>
            <w:r>
              <w:t xml:space="preserve">10</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Contabilidad</w:t>
            </w:r>
          </w:p>
        </w:tc>
        <w:tc>
          <w:tcPr/>
          <w:p>
            <w:pPr>
              <w:pStyle w:val="Compact"/>
              <w:jc w:val="right"/>
            </w:pPr>
            <w:r>
              <w:t xml:space="preserve">9</w:t>
            </w:r>
          </w:p>
        </w:tc>
        <w:tc>
          <w:tcPr/>
          <w:p>
            <w:pPr>
              <w:pStyle w:val="Compact"/>
              <w:jc w:val="right"/>
            </w:pPr>
            <w:r>
              <w:t xml:space="preserve">1</w:t>
            </w:r>
          </w:p>
        </w:tc>
        <w:tc>
          <w:tcPr/>
          <w:p>
            <w:pPr>
              <w:pStyle w:val="Compact"/>
              <w:jc w:val="right"/>
            </w:pPr>
            <w:r>
              <w:t xml:space="preserve">1</w:t>
            </w:r>
          </w:p>
        </w:tc>
        <w:tc>
          <w:tcPr/>
          <w:p>
            <w:pPr>
              <w:pStyle w:val="Compact"/>
              <w:jc w:val="right"/>
            </w:pPr>
            <w:r>
              <w:t xml:space="preserve">—</w:t>
            </w:r>
          </w:p>
        </w:tc>
      </w:tr>
      <w:tr>
        <w:tc>
          <w:tcPr/>
          <w:p>
            <w:pPr>
              <w:pStyle w:val="Compact"/>
              <w:jc w:val="left"/>
            </w:pPr>
            <w:r>
              <w:t xml:space="preserve">Transversales</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r>
      <w:tr>
        <w:tc>
          <w:tcPr/>
          <w:p>
            <w:pPr>
              <w:pStyle w:val="Compact"/>
              <w:jc w:val="left"/>
            </w:pPr>
            <w:r>
              <w:rPr>
                <w:bCs/>
                <w:b/>
              </w:rPr>
              <w:t xml:space="preserve">Total</w:t>
            </w:r>
          </w:p>
        </w:tc>
        <w:tc>
          <w:tcPr/>
          <w:p>
            <w:pPr>
              <w:pStyle w:val="Compact"/>
              <w:jc w:val="right"/>
            </w:pPr>
            <w:r>
              <w:rPr>
                <w:bCs/>
                <w:b/>
              </w:rPr>
              <w:t xml:space="preserve">188</w:t>
            </w:r>
          </w:p>
        </w:tc>
        <w:tc>
          <w:tcPr/>
          <w:p>
            <w:pPr>
              <w:pStyle w:val="Compact"/>
              <w:jc w:val="right"/>
            </w:pPr>
            <w:r>
              <w:rPr>
                <w:bCs/>
                <w:b/>
              </w:rPr>
              <w:t xml:space="preserve">84</w:t>
            </w:r>
          </w:p>
        </w:tc>
        <w:tc>
          <w:tcPr/>
          <w:p>
            <w:pPr>
              <w:pStyle w:val="Compact"/>
              <w:jc w:val="right"/>
            </w:pPr>
            <w:r>
              <w:rPr>
                <w:bCs/>
                <w:b/>
              </w:rPr>
              <w:t xml:space="preserve">53</w:t>
            </w:r>
          </w:p>
        </w:tc>
        <w:tc>
          <w:tcPr/>
          <w:p>
            <w:pPr>
              <w:pStyle w:val="Compact"/>
              <w:jc w:val="right"/>
            </w:pPr>
            <w:r>
              <w:rPr>
                <w:bCs/>
                <w:b/>
              </w:rPr>
              <w:t xml:space="preserve">67</w:t>
            </w:r>
          </w:p>
        </w:tc>
      </w:tr>
    </w:tbl>
    <w:p>
      <w:pPr>
        <w:pStyle w:val="BodyText"/>
      </w:pPr>
      <w:r>
        <w:t xml:space="preserve">Tres lecturas de esa tabla.</w:t>
      </w:r>
    </w:p>
    <w:p>
      <w:pPr>
        <w:pStyle w:val="BodyText"/>
      </w:pPr>
      <w:r>
        <w:rPr>
          <w:bCs/>
          <w:b/>
        </w:rPr>
        <w:t xml:space="preserve">La severidad.</w:t>
      </w:r>
      <w:r>
        <w:t xml:space="preserve"> </w:t>
      </w:r>
      <w:r>
        <w:t xml:space="preserve">84 hallazgos están clasificados como críticos y</w:t>
      </w:r>
      <w:r>
        <w:t xml:space="preserve"> </w:t>
      </w:r>
      <w:r>
        <w:rPr>
          <w:bCs/>
          <w:b/>
        </w:rPr>
        <w:t xml:space="preserve">53 son invalidantes</w:t>
      </w:r>
      <w:r>
        <w:t xml:space="preserve">, es decir, impiden completar el proceso o lo completan produciendo un resultado que la norma no admite.</w:t>
      </w:r>
    </w:p>
    <w:p>
      <w:pPr>
        <w:pStyle w:val="BodyText"/>
      </w:pPr>
      <w:r>
        <w:rPr>
          <w:bCs/>
          <w:b/>
        </w:rPr>
        <w:t xml:space="preserve">La naturaleza.</w:t>
      </w:r>
      <w:r>
        <w:t xml:space="preserve"> </w:t>
      </w:r>
      <w:r>
        <w:t xml:space="preserve">La categoría más frecuente es «Flujo» (64 hallazgos, más 15 adicionales en combinaciones con negocio, integración o legalidad), por sobre retroalimentación al usuario (30), elementos faltantes (17) y visibilidad (15). No se trata de una lista de defectos de interfaz: la mayoría describe pasos que el sistema permite ejecutar sin producir el efecto que corresponde.</w:t>
      </w:r>
    </w:p>
    <w:p>
      <w:pPr>
        <w:pStyle w:val="BodyText"/>
      </w:pPr>
      <w:r>
        <w:rPr>
          <w:bCs/>
          <w:b/>
        </w:rPr>
        <w:t xml:space="preserve">El respaldo contractual.</w:t>
      </w:r>
      <w:r>
        <w:t xml:space="preserve"> </w:t>
      </w:r>
      <w:r>
        <w:t xml:space="preserve">67 hallazgos citan la cláusula del Anexo N° 12 o del Anexo N° 13 de la Intención de Compra que el sistema no satisface. Algunos ejemplos, con la exigencia contractual y lo observado: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Exigencia de la Intención de Compra</w:t>
            </w:r>
          </w:p>
        </w:tc>
        <w:tc>
          <w:tcPr/>
          <w:p>
            <w:pPr>
              <w:pStyle w:val="Compact"/>
              <w:jc w:val="left"/>
            </w:pPr>
            <w:r>
              <w:t xml:space="preserve">Lo observado</w:t>
            </w:r>
          </w:p>
        </w:tc>
      </w:tr>
      <w:tr>
        <w:tc>
          <w:tcPr/>
          <w:p>
            <w:pPr>
              <w:pStyle w:val="Compact"/>
              <w:jc w:val="left"/>
            </w:pPr>
            <w:r>
              <w:t xml:space="preserve">«Cualquier compra debe contar con disponibilidad presupuestaria y se debe generar un certificado de disponibilidad» (Anexo N° 12, tarea 23.2.3)</w:t>
            </w:r>
          </w:p>
        </w:tc>
        <w:tc>
          <w:tcPr/>
          <w:p>
            <w:pPr>
              <w:pStyle w:val="Compact"/>
              <w:jc w:val="left"/>
            </w:pPr>
            <w:r>
              <w:t xml:space="preserve">La validación presupuestaria no tiene origen trazable; la compra avanza sin ella</w:t>
            </w:r>
          </w:p>
        </w:tc>
      </w:tr>
      <w:tr>
        <w:tc>
          <w:tcPr/>
          <w:p>
            <w:pPr>
              <w:pStyle w:val="Compact"/>
              <w:jc w:val="left"/>
            </w:pPr>
            <w:r>
              <w:t xml:space="preserve">«No permitir obligaciones sin saldo de presupuesto» (Anexo N° 13, punto 1.1, ítem 8)</w:t>
            </w:r>
          </w:p>
        </w:tc>
        <w:tc>
          <w:tcPr/>
          <w:p>
            <w:pPr>
              <w:pStyle w:val="Compact"/>
              <w:jc w:val="left"/>
            </w:pPr>
            <w:r>
              <w:t xml:space="preserve">La obligación presupuestaria se genera excediendo el saldo disponible, y la advertencia aparece después de aprobada la resolución</w:t>
            </w:r>
          </w:p>
        </w:tc>
      </w:tr>
      <w:tr>
        <w:tc>
          <w:tcPr/>
          <w:p>
            <w:pPr>
              <w:pStyle w:val="Compact"/>
              <w:jc w:val="left"/>
            </w:pPr>
            <w:r>
              <w:t xml:space="preserve">«Las solicitudes de pedido deben ser aprobadas electrónicamente por las distintas unidades que lo aprueban» (Anexo N° 13, punto 1.4, letra a)</w:t>
            </w:r>
          </w:p>
        </w:tc>
        <w:tc>
          <w:tcPr/>
          <w:p>
            <w:pPr>
              <w:pStyle w:val="Compact"/>
              <w:jc w:val="left"/>
            </w:pPr>
            <w:r>
              <w:t xml:space="preserve">Es posible aprobar sin verificación alguna de identidad ni firma</w:t>
            </w:r>
          </w:p>
        </w:tc>
      </w:tr>
      <w:tr>
        <w:tc>
          <w:tcPr/>
          <w:p>
            <w:pPr>
              <w:pStyle w:val="Compact"/>
              <w:jc w:val="left"/>
            </w:pPr>
            <w:r>
              <w:t xml:space="preserve">«El sistema debe contemplar la circulación digital de documentos […] y las visaciones electrónicas» (Anexo N° 13, punto 1.4, letra c)</w:t>
            </w:r>
          </w:p>
        </w:tc>
        <w:tc>
          <w:tcPr/>
          <w:p>
            <w:pPr>
              <w:pStyle w:val="Compact"/>
              <w:jc w:val="left"/>
            </w:pPr>
            <w:r>
              <w:t xml:space="preserve">La resolución de compra se aprueba sin firma y sin documento asociado</w:t>
            </w:r>
          </w:p>
        </w:tc>
      </w:tr>
      <w:tr>
        <w:tc>
          <w:tcPr/>
          <w:p>
            <w:pPr>
              <w:pStyle w:val="Compact"/>
              <w:jc w:val="left"/>
            </w:pPr>
            <w:r>
              <w:t xml:space="preserve">Cuatro modalidades de compra con validaciones y flujos distintos (Anexo N° 12, tareas 21 a 24)</w:t>
            </w:r>
          </w:p>
        </w:tc>
        <w:tc>
          <w:tcPr/>
          <w:p>
            <w:pPr>
              <w:pStyle w:val="Compact"/>
              <w:jc w:val="left"/>
            </w:pPr>
            <w:r>
              <w:t xml:space="preserve">Una sola pantalla genérica para las cuatro modalidades legales</w:t>
            </w:r>
          </w:p>
        </w:tc>
      </w:tr>
    </w:tbl>
    <w:p>
      <w:pPr>
        <w:pStyle w:val="BodyText"/>
      </w:pPr>
      <w:r>
        <w:t xml:space="preserve">A ellos se agregan hallazgos de legalidad que el levantamiento ya describía: el egreso devengado puede generarse con la sola resolución de compra, cuando la normativa contable exige la recepción del bien o servicio; el cese y la desvinculación omiten el registro en SIAPER; la planificación de horas extras no valida los topes del Estatuto Administrativo ni la disponibilidad presupuestaria; y las declaraciones juradas de probidad e inhabilidades se resuelven con un interruptor en pantalla.</w:t>
      </w:r>
    </w:p>
    <w:p>
      <w:pPr>
        <w:pStyle w:val="BodyText"/>
      </w:pPr>
      <w:r>
        <w:rPr>
          <w:bCs/>
          <w:b/>
        </w:rPr>
        <w:t xml:space="preserve">Esfuerzo de remediación.</w:t>
      </w:r>
      <w:r>
        <w:t xml:space="preserve"> </w:t>
      </w:r>
      <w:r>
        <w:t xml:space="preserve">El módulo de Adquisiciones, único con estimación completa, requiere</w:t>
      </w:r>
      <w:r>
        <w:t xml:space="preserve"> </w:t>
      </w:r>
      <w:r>
        <w:rPr>
          <w:bCs/>
          <w:b/>
        </w:rPr>
        <w:t xml:space="preserve">1.968 horas-hombre</w:t>
      </w:r>
      <w:r>
        <w:t xml:space="preserve"> </w:t>
      </w:r>
      <w:r>
        <w:t xml:space="preserve">para resolver sus 67 hallazgos. De ese total, el propio equipo clasificó</w:t>
      </w:r>
      <w:r>
        <w:t xml:space="preserve"> </w:t>
      </w:r>
      <w:r>
        <w:rPr>
          <w:bCs/>
          <w:b/>
        </w:rPr>
        <w:t xml:space="preserve">922 horas (8 hallazgos) como trabajo que no debe realizarse sobre la base actual sino especificarse para la nueva contratación</w:t>
      </w:r>
      <w:r>
        <w:t xml:space="preserve">, y otras 424 horas como pendientes de evaluación. Esa clasificación —hecha antes y con independencia de este informe— es la evidencia más directa disponible de que la corrección sobre la plataforma actual no es el camino económico.</w:t>
      </w:r>
    </w:p>
    <w:p>
      <w:r>
        <w:pict>
          <v:rect style="width:0;height:1.5pt" o:hralign="center" o:hrstd="t" o:hr="t"/>
        </w:pict>
      </w:r>
    </w:p>
    <w:bookmarkEnd w:id="22"/>
    <w:bookmarkEnd w:id="23"/>
    <w:bookmarkStart w:id="24" w:name="X8515820527f782d53cfaea739aca158f3332c3a"/>
    <w:p>
      <w:pPr>
        <w:pStyle w:val="Heading1"/>
      </w:pPr>
      <w:r>
        <w:t xml:space="preserve">4 · Sección 2.6 (antes 2.5) «Evidencia técnica disponible»</w:t>
      </w:r>
    </w:p>
    <w:p>
      <w:pPr>
        <w:pStyle w:val="FirstParagraph"/>
      </w:pPr>
      <w:r>
        <w:rPr>
          <w:bCs/>
          <w:b/>
        </w:rPr>
        <w:t xml:space="preserve">En la tabla:</w:t>
      </w:r>
      <w:r>
        <w:t xml:space="preserve"> </w:t>
      </w:r>
      <w:r>
        <w:t xml:space="preserve">eliminar la fila «Auditoría de calidad del módulo de Adquisiciones: 67 puntos». Dejar las filas en este orden y agregar las dos nuevas: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Evidencia</w:t>
            </w:r>
          </w:p>
        </w:tc>
        <w:tc>
          <w:tcPr/>
          <w:p>
            <w:pPr>
              <w:pStyle w:val="Compact"/>
              <w:jc w:val="left"/>
            </w:pPr>
            <w:r>
              <w:t xml:space="preserve">Fecha</w:t>
            </w:r>
          </w:p>
        </w:tc>
        <w:tc>
          <w:tcPr/>
          <w:p>
            <w:pPr>
              <w:pStyle w:val="Compact"/>
              <w:jc w:val="left"/>
            </w:pPr>
            <w:r>
              <w:t xml:space="preserve">Naturaleza</w:t>
            </w:r>
          </w:p>
        </w:tc>
      </w:tr>
      <w:tr>
        <w:tc>
          <w:tcPr/>
          <w:p>
            <w:pPr>
              <w:pStyle w:val="Compact"/>
              <w:jc w:val="left"/>
            </w:pPr>
            <w:r>
              <w:t xml:space="preserve">Anexo N° 12: 42 procesos municipales levantados en terreno</w:t>
            </w:r>
          </w:p>
        </w:tc>
        <w:tc>
          <w:tcPr/>
          <w:p>
            <w:pPr>
              <w:pStyle w:val="Compact"/>
              <w:jc w:val="left"/>
            </w:pPr>
            <w:r>
              <w:t xml:space="preserve">Mar. 2024</w:t>
            </w:r>
          </w:p>
        </w:tc>
        <w:tc>
          <w:tcPr/>
          <w:p>
            <w:pPr>
              <w:pStyle w:val="Compact"/>
              <w:jc w:val="left"/>
            </w:pPr>
            <w:r>
              <w:t xml:space="preserve">Levantamiento validado, base del contrato</w:t>
            </w:r>
          </w:p>
        </w:tc>
      </w:tr>
      <w:tr>
        <w:tc>
          <w:tcPr/>
          <w:p>
            <w:pPr>
              <w:pStyle w:val="Compact"/>
              <w:jc w:val="left"/>
            </w:pPr>
            <w:r>
              <w:t xml:space="preserve">Informe 4 — Levantamiento de procesos y diseño de servicio SGM</w:t>
            </w:r>
          </w:p>
        </w:tc>
        <w:tc>
          <w:tcPr/>
          <w:p>
            <w:pPr>
              <w:pStyle w:val="Compact"/>
              <w:jc w:val="left"/>
            </w:pPr>
            <w:r>
              <w:t xml:space="preserve">Jul. 2024</w:t>
            </w:r>
          </w:p>
        </w:tc>
        <w:tc>
          <w:tcPr/>
          <w:p>
            <w:pPr>
              <w:pStyle w:val="Compact"/>
              <w:jc w:val="left"/>
            </w:pPr>
            <w:r>
              <w:t xml:space="preserve">Informe final del estudio</w:t>
            </w:r>
          </w:p>
        </w:tc>
      </w:tr>
      <w:tr>
        <w:tc>
          <w:tcPr/>
          <w:p>
            <w:pPr>
              <w:pStyle w:val="Compact"/>
              <w:jc w:val="left"/>
            </w:pPr>
            <w:r>
              <w:t xml:space="preserve">Fichas y bitácoras por municipio de las sesiones de marcha blanca</w:t>
            </w:r>
          </w:p>
        </w:tc>
        <w:tc>
          <w:tcPr/>
          <w:p>
            <w:pPr>
              <w:pStyle w:val="Compact"/>
              <w:jc w:val="left"/>
            </w:pPr>
            <w:r>
              <w:t xml:space="preserve">2025</w:t>
            </w:r>
          </w:p>
        </w:tc>
        <w:tc>
          <w:tcPr/>
          <w:p>
            <w:pPr>
              <w:pStyle w:val="Compact"/>
              <w:jc w:val="left"/>
            </w:pPr>
            <w:r>
              <w:t xml:space="preserve">Registro de operación real</w:t>
            </w:r>
          </w:p>
        </w:tc>
      </w:tr>
      <w:tr>
        <w:tc>
          <w:tcPr/>
          <w:p>
            <w:pPr>
              <w:pStyle w:val="Compact"/>
              <w:jc w:val="left"/>
            </w:pPr>
            <w:r>
              <w:t xml:space="preserve">Matriz de interdependencias entre módulos y diagramas de procesos (egreso devengado, tesorería, presupuesto, compra ágil)</w:t>
            </w:r>
          </w:p>
        </w:tc>
        <w:tc>
          <w:tcPr/>
          <w:p>
            <w:pPr>
              <w:pStyle w:val="Compact"/>
              <w:jc w:val="left"/>
            </w:pPr>
            <w:r>
              <w:t xml:space="preserve">2026</w:t>
            </w:r>
          </w:p>
        </w:tc>
        <w:tc>
          <w:tcPr/>
          <w:p>
            <w:pPr>
              <w:pStyle w:val="Compact"/>
              <w:jc w:val="left"/>
            </w:pPr>
            <w:r>
              <w:t xml:space="preserve">Identifica los puntos de integración faltantes</w:t>
            </w:r>
          </w:p>
        </w:tc>
      </w:tr>
      <w:tr>
        <w:tc>
          <w:tcPr/>
          <w:p>
            <w:pPr>
              <w:pStyle w:val="Compact"/>
              <w:jc w:val="left"/>
            </w:pPr>
            <w:r>
              <w:rPr>
                <w:bCs/>
                <w:b/>
              </w:rPr>
              <w:t xml:space="preserve">Control de calidad interno sobre los seis módulos: 188 hallazgos</w:t>
            </w:r>
          </w:p>
        </w:tc>
        <w:tc>
          <w:tcPr/>
          <w:p>
            <w:pPr>
              <w:pStyle w:val="Compact"/>
              <w:jc w:val="left"/>
            </w:pPr>
            <w:r>
              <w:t xml:space="preserve">Jun.–jul. 2026</w:t>
            </w:r>
          </w:p>
        </w:tc>
        <w:tc>
          <w:tcPr/>
          <w:p>
            <w:pPr>
              <w:pStyle w:val="Compact"/>
              <w:jc w:val="left"/>
            </w:pPr>
            <w:r>
              <w:t xml:space="preserve">Revisión funcional con equipo propio, con severidad, categoría, carácter invalidante y respaldo contractual por hallazgo</w:t>
            </w:r>
          </w:p>
        </w:tc>
      </w:tr>
      <w:tr>
        <w:tc>
          <w:tcPr/>
          <w:p>
            <w:pPr>
              <w:pStyle w:val="Compact"/>
              <w:jc w:val="left"/>
            </w:pPr>
            <w:r>
              <w:rPr>
                <w:bCs/>
                <w:b/>
              </w:rPr>
              <w:t xml:space="preserve">Revisión del código del sistema contra el levantamiento de procesos</w:t>
            </w:r>
          </w:p>
        </w:tc>
        <w:tc>
          <w:tcPr/>
          <w:p>
            <w:pPr>
              <w:pStyle w:val="Compact"/>
              <w:jc w:val="left"/>
            </w:pPr>
            <w:r>
              <w:t xml:space="preserve">Jul. 2026</w:t>
            </w:r>
          </w:p>
        </w:tc>
        <w:tc>
          <w:tcPr/>
          <w:p>
            <w:pPr>
              <w:pStyle w:val="Compact"/>
              <w:jc w:val="left"/>
            </w:pPr>
            <w:r>
              <w:t xml:space="preserve">Verificación directa sobre el código entregado</w:t>
            </w:r>
          </w:p>
        </w:tc>
      </w:tr>
      <w:tr>
        <w:tc>
          <w:tcPr/>
          <w:p>
            <w:pPr>
              <w:pStyle w:val="Compact"/>
              <w:jc w:val="left"/>
            </w:pPr>
            <w:r>
              <w:t xml:space="preserve">Auditoría de interfaces de carga y descarga de datos: 43 interfaces</w:t>
            </w:r>
          </w:p>
        </w:tc>
        <w:tc>
          <w:tcPr/>
          <w:p>
            <w:pPr>
              <w:pStyle w:val="Compact"/>
              <w:jc w:val="left"/>
            </w:pPr>
            <w:r>
              <w:t xml:space="preserve">Jun. 2026</w:t>
            </w:r>
          </w:p>
        </w:tc>
        <w:tc>
          <w:tcPr/>
          <w:p>
            <w:pPr>
              <w:pStyle w:val="Compact"/>
              <w:jc w:val="left"/>
            </w:pPr>
            <w:r>
              <w:t xml:space="preserve">37 sin plantilla; 39 no admiten reimportar el archivo que el propio sistema exporta</w:t>
            </w:r>
          </w:p>
        </w:tc>
      </w:tr>
    </w:tbl>
    <w:p>
      <w:pPr>
        <w:pStyle w:val="BodyText"/>
      </w:pPr>
      <w:r>
        <w:rPr>
          <w:bCs/>
          <w:b/>
        </w:rPr>
        <w:t xml:space="preserve">Bajo la tabla:</w:t>
      </w:r>
      <w:r>
        <w:t xml:space="preserve"> </w:t>
      </w:r>
      <w:r>
        <w:t xml:space="preserve">reemplazar el párrafo que empieza «La pieza determinante es la revisión de código…» por estos tres:</w:t>
      </w:r>
    </w:p>
    <w:p>
      <w:pPr>
        <w:pStyle w:val="BodyText"/>
      </w:pPr>
      <w:r>
        <w:t xml:space="preserve">Dos piezas son determinantes, y ambas provienen de trabajo propio de SUBDERE.</w:t>
      </w:r>
    </w:p>
    <w:p>
      <w:pPr>
        <w:pStyle w:val="BodyText"/>
      </w:pPr>
      <w:r>
        <w:rPr>
          <w:bCs/>
          <w:b/>
        </w:rPr>
        <w:t xml:space="preserve">El control de calidad no se hizo sobre documentación, sino sobre el sistema en funcionamiento</w:t>
      </w:r>
      <w:r>
        <w:t xml:space="preserve">, módulo por módulo, con registro de evidencia por hallazgo.</w:t>
      </w:r>
      <w:r>
        <w:t xml:space="preserve"> </w:t>
      </w:r>
      <w:r>
        <w:rPr>
          <w:bCs/>
          <w:b/>
        </w:rPr>
        <w:t xml:space="preserve">Y la revisión de código no se hizo sobre las pantallas, sino sobre el código entregado</w:t>
      </w:r>
      <w:r>
        <w:t xml:space="preserve">, contrastado contra los procesos levantados. De esa revisión proviene el hallazgo que ordena todo el diagnóstico:</w:t>
      </w:r>
      <w:r>
        <w:t xml:space="preserve"> </w:t>
      </w:r>
      <w:r>
        <w:rPr>
          <w:bCs/>
          <w:b/>
        </w:rPr>
        <w:t xml:space="preserve">el sistema implementa los flujos aprobados sin producir los efectos que la norma exige</w:t>
      </w:r>
      <w:r>
        <w:t xml:space="preserve">. Aprobar un paso no cambia el estado real del negocio. Hay trámite; no hay efecto de sistema.</w:t>
      </w:r>
    </w:p>
    <w:p>
      <w:pPr>
        <w:pStyle w:val="BodyText"/>
      </w:pPr>
      <w:r>
        <w:t xml:space="preserve">Esa es también la razón por la cual SUBDERE puede hoy especificar la segunda etapa con precisión: no se dispone de una impresión general sobre el sistema, sino de 188 hallazgos trazables, con su cláusula contractual cuando la tienen, y con estimación de esfuerzo en el módulo de mayor cobertura.</w:t>
      </w:r>
    </w:p>
    <w:p>
      <w:r>
        <w:pict>
          <v:rect style="width:0;height:1.5pt" o:hralign="center" o:hrstd="t" o:hr="t"/>
        </w:pict>
      </w:r>
    </w:p>
    <w:bookmarkEnd w:id="24"/>
    <w:bookmarkStart w:id="25" w:name="X5afdaace547b712cd13a6214bb082200e557b92"/>
    <w:p>
      <w:pPr>
        <w:pStyle w:val="Heading1"/>
      </w:pPr>
      <w:r>
        <w:t xml:space="preserve">5 · Sección 2.7 (antes 2.6) «Una precisión sobre el cierre del ciclo anterior»</w:t>
      </w:r>
    </w:p>
    <w:p>
      <w:pPr>
        <w:pStyle w:val="FirstParagraph"/>
      </w:pPr>
      <w:r>
        <w:rPr>
          <w:bCs/>
          <w:b/>
        </w:rPr>
        <w:t xml:space="preserve">Reemplazar la sección completa</w:t>
      </w:r>
      <w:r>
        <w:t xml:space="preserve">, desde el primer párrafo hasta el recuadro en cursiva inclusive, por:</w:t>
      </w:r>
    </w:p>
    <w:p>
      <w:pPr>
        <w:pStyle w:val="BodyText"/>
      </w:pPr>
      <w:r>
        <w:t xml:space="preserve">El mecanismo de recepción que el contrato definió es documental: cada cuota se pagaba contra certificación de aprobación técnica del informe respectivo y recepción conforme emitida en el sistema de información, y los entregables eran informes, código fuente, documentación técnica, manuales y reportes de piloto.</w:t>
      </w:r>
    </w:p>
    <w:p>
      <w:pPr>
        <w:pStyle w:val="BodyText"/>
      </w:pPr>
      <w:r>
        <w:t xml:space="preserve">La secuencia de fechas es la siguiente: el acuerdo se suscribió el 20 de diciembre de 2024, con nueve meses de ejecución y dos de cierre; la garantía de fiel cumplimiento venció el 30 de marzo de 2026; el control de calidad sobre los seis módulos se ejecutó entre el 4 de junio y el 1 de julio de 2026, y la revisión de código en julio de 2026.</w:t>
      </w:r>
    </w:p>
    <w:p>
      <w:pPr>
        <w:pStyle w:val="BodyText"/>
      </w:pPr>
      <w:r>
        <w:t xml:space="preserve">De ahí se sigue una consecuencia de diseño contractual, y es la lección más valiosa del ciclo:</w:t>
      </w:r>
      <w:r>
        <w:t xml:space="preserve"> </w:t>
      </w:r>
      <w:r>
        <w:rPr>
          <w:bCs/>
          <w:b/>
        </w:rPr>
        <w:t xml:space="preserve">un criterio de recepción basado en la aprobación de informes no permite detectar que un sistema no produce los efectos que declara.</w:t>
      </w:r>
      <w:r>
        <w:t xml:space="preserve"> </w:t>
      </w:r>
      <w:r>
        <w:t xml:space="preserve">Un informe de pruebas puede ser conforme mientras el sistema permite aprobar una compra sin disponibilidad presupuestaria, porque la conformidad se verifica sobre el documento y no sobre el efecto. La segunda etapa corrige eso en la raíz: la recepción se verifica por efectos comprobables por interfaz, con el arnés de pruebas disponible desde el primer entregable y no al final.</w:t>
      </w:r>
    </w:p>
    <w:p>
      <w:pPr>
        <w:pStyle w:val="BlockText"/>
      </w:pPr>
      <w:r>
        <w:rPr>
          <w:iCs/>
          <w:i/>
        </w:rPr>
        <w:t xml:space="preserve">[Por completar antes del envío: detalle de los seis certificados de recepción conforme, con fechas y observaciones formuladas; registro de eventuales notificaciones de falla o aplicación de multas; y estado del análisis jurídico respecto de los hallazgos con respaldo contractual descritos en 2.4.]</w:t>
      </w:r>
    </w:p>
    <w:p>
      <w:r>
        <w:pict>
          <v:rect style="width:0;height:1.5pt" o:hralign="center" o:hrstd="t" o:hr="t"/>
        </w:pict>
      </w:r>
    </w:p>
    <w:bookmarkEnd w:id="25"/>
    <w:bookmarkStart w:id="26" w:name="X7ce4c5e61a116cb1684765efd7896b8a5c573ce"/>
    <w:p>
      <w:pPr>
        <w:pStyle w:val="Heading1"/>
      </w:pPr>
      <w:r>
        <w:t xml:space="preserve">6 · Sección 3, «El hallazgo que ordena la decisión» — insertar un párrafo</w:t>
      </w:r>
    </w:p>
    <w:p>
      <w:pPr>
        <w:pStyle w:val="FirstParagraph"/>
      </w:pPr>
      <w:r>
        <w:rPr>
          <w:bCs/>
          <w:b/>
        </w:rPr>
        <w:t xml:space="preserve">Dónde:</w:t>
      </w:r>
      <w:r>
        <w:t xml:space="preserve"> </w:t>
      </w:r>
      <w:r>
        <w:t xml:space="preserve">justo antes de la cita del Informe 4 (la que dice «Ofrece APIs abiertas que facilitan la integración…»). Reemplazar la línea de enlace «La incompatibilidad estaba advertida en el propio insumo que fundó la contratación:» por este párrafo más el nuevo enlace:</w:t>
      </w:r>
    </w:p>
    <w:p>
      <w:pPr>
        <w:pStyle w:val="BodyText"/>
      </w:pPr>
      <w:r>
        <w:t xml:space="preserve">La exigencia de interfaz no era una preferencia de redacción. La propia Intención de Compra ordena atenerse a los «Lineamientos para el desarrollo de software en instituciones públicas» de la Secretaría de Gobierno Digital, que forman parte de los antecedentes del Convenio Marco. Esos lineamientos (versión 2.0, mayo de 2021) exigen desacoplar clientes y servicios web, exponer los servicios bajo arquitectura REST sobre HTTP con mecanismos de autenticación —tokens, certificados o llaves criptográficas—, y documentar las interfaces con OpenAPI Specification v3.0 o superior, «siendo este punto un requisito fundamental en la documentación entregable de un proyecto».</w:t>
      </w:r>
    </w:p>
    <w:p>
      <w:pPr>
        <w:pStyle w:val="BodyText"/>
      </w:pPr>
      <w:r>
        <w:t xml:space="preserve">La incompatibilidad entre esa exigencia y la plataforma base estaba advertida en el propio insumo que fundó la contratación:</w:t>
      </w:r>
    </w:p>
    <w:p>
      <w:r>
        <w:pict>
          <v:rect style="width:0;height:1.5pt" o:hralign="center" o:hrstd="t" o:hr="t"/>
        </w:pict>
      </w:r>
    </w:p>
    <w:bookmarkEnd w:id="26"/>
    <w:bookmarkStart w:id="27" w:name="sección-4.1-dos-viñetas"/>
    <w:p>
      <w:pPr>
        <w:pStyle w:val="Heading1"/>
      </w:pPr>
      <w:r>
        <w:t xml:space="preserve">7 · Sección 4.1 — dos viñetas</w:t>
      </w:r>
    </w:p>
    <w:p>
      <w:pPr>
        <w:pStyle w:val="FirstParagraph"/>
      </w:pPr>
      <w:r>
        <w:rPr>
          <w:bCs/>
          <w:b/>
        </w:rPr>
        <w:t xml:space="preserve">Primera viñeta de la lista de condiciones</w:t>
      </w:r>
      <w:r>
        <w:t xml:space="preserve">, reemplazar por:</w:t>
      </w:r>
    </w:p>
    <w:p>
      <w:pPr>
        <w:numPr>
          <w:ilvl w:val="0"/>
          <w:numId w:val="1002"/>
        </w:numPr>
        <w:pStyle w:val="Compact"/>
      </w:pPr>
      <w:r>
        <w:t xml:space="preserve">Una</w:t>
      </w:r>
      <w:r>
        <w:t xml:space="preserve"> </w:t>
      </w:r>
      <w:r>
        <w:rPr>
          <w:bCs/>
          <w:b/>
        </w:rPr>
        <w:t xml:space="preserve">puerta de servicio pública y documentada</w:t>
      </w:r>
      <w:r>
        <w:t xml:space="preserve">, descrita con OpenAPI Specification v3.0 o superior conforme a los lineamientos de la Secretaría de Gobierno Digital, con la especificación como fuente de verdad frente al código, y sin accesos privilegiados para ningún consumidor, incluido el propio frontend de SUBDERE.</w:t>
      </w:r>
    </w:p>
    <w:p>
      <w:pPr>
        <w:pStyle w:val="FirstParagraph"/>
      </w:pPr>
      <w:r>
        <w:rPr>
          <w:bCs/>
          <w:b/>
        </w:rPr>
        <w:t xml:space="preserve">Viñeta «Propiedad estatal del código y cláusulas de portabilidad (sección 5.3)»</w:t>
      </w:r>
      <w:r>
        <w:t xml:space="preserve">, reemplazar por:</w:t>
      </w:r>
    </w:p>
    <w:p>
      <w:pPr>
        <w:numPr>
          <w:ilvl w:val="0"/>
          <w:numId w:val="1003"/>
        </w:numPr>
        <w:pStyle w:val="Compact"/>
      </w:pPr>
      <w:r>
        <w:rPr>
          <w:bCs/>
          <w:b/>
        </w:rPr>
        <w:t xml:space="preserve">Propiedad estatal del código, con cesión expresa de derechos</w:t>
      </w:r>
      <w:r>
        <w:t xml:space="preserve"> </w:t>
      </w:r>
      <w:r>
        <w:t xml:space="preserve">y cláusulas de portabilidad, escritas en las bases propias y no heredadas de un instrumento superior (sección 5.3).</w:t>
      </w:r>
    </w:p>
    <w:p>
      <w:r>
        <w:pict>
          <v:rect style="width:0;height:1.5pt" o:hralign="center" o:hrstd="t" o:hr="t"/>
        </w:pict>
      </w:r>
    </w:p>
    <w:bookmarkEnd w:id="27"/>
    <w:bookmarkStart w:id="28" w:name="X4091a2efa563d08618c2d2c4f7d074ec2d37dba"/>
    <w:p>
      <w:pPr>
        <w:pStyle w:val="Heading1"/>
      </w:pPr>
      <w:r>
        <w:t xml:space="preserve">8 · Sección 4.3 «Justificación económica» — insertar dos párrafos y corregir una cifra</w:t>
      </w:r>
    </w:p>
    <w:p>
      <w:pPr>
        <w:pStyle w:val="FirstParagraph"/>
      </w:pPr>
      <w:r>
        <w:rPr>
          <w:bCs/>
          <w:b/>
        </w:rPr>
        <w:t xml:space="preserve">Insertar después</w:t>
      </w:r>
      <w:r>
        <w:t xml:space="preserve"> </w:t>
      </w:r>
      <w:r>
        <w:t xml:space="preserve">del recuadro en cursiva sobre los montos pagados por cuota, y</w:t>
      </w:r>
      <w:r>
        <w:t xml:space="preserve"> </w:t>
      </w:r>
      <w:r>
        <w:rPr>
          <w:bCs/>
          <w:b/>
        </w:rPr>
        <w:t xml:space="preserve">antes</w:t>
      </w:r>
      <w:r>
        <w:t xml:space="preserve"> </w:t>
      </w:r>
      <w:r>
        <w:t xml:space="preserve">del párrafo «La comparación entre alternativas»:</w:t>
      </w:r>
    </w:p>
    <w:p>
      <w:pPr>
        <w:pStyle w:val="BodyText"/>
      </w:pPr>
      <w:r>
        <w:rPr>
          <w:bCs/>
          <w:b/>
        </w:rPr>
        <w:t xml:space="preserve">Lo que cuesta corregir sobre la base actual.</w:t>
      </w:r>
      <w:r>
        <w:t xml:space="preserve"> </w:t>
      </w:r>
      <w:r>
        <w:t xml:space="preserve">El control de calidad entregó una cifra verificable para el módulo de mayor cobertura:</w:t>
      </w:r>
      <w:r>
        <w:t xml:space="preserve"> </w:t>
      </w:r>
      <w:r>
        <w:rPr>
          <w:bCs/>
          <w:b/>
        </w:rPr>
        <w:t xml:space="preserve">1.968 horas-hombre para resolver los 67 hallazgos de Adquisiciones</w:t>
      </w:r>
      <w:r>
        <w:t xml:space="preserve">, equivalentes a unos 29 hh promedio por hallazgo. Ese módulo concentra el 36 % de los 188 hallazgos. Y dentro de esa cifra,</w:t>
      </w:r>
      <w:r>
        <w:t xml:space="preserve"> </w:t>
      </w:r>
      <w:r>
        <w:rPr>
          <w:bCs/>
          <w:b/>
        </w:rPr>
        <w:t xml:space="preserve">922 horas corresponden a ocho hallazgos que el propio equipo clasificó como trabajo que no debe ejecutarse sobre la plataforma actual</w:t>
      </w:r>
      <w:r>
        <w:t xml:space="preserve"> </w:t>
      </w:r>
      <w:r>
        <w:t xml:space="preserve">—catálogo de productos, modalidades de compra, resolución de compra, integración con Mercado Público, comisión evaluadora—, porque exigen decisiones de modelo de datos y de arquitectura que la segunda etapa debe resolver una sola vez.</w:t>
      </w:r>
    </w:p>
    <w:p>
      <w:pPr>
        <w:pStyle w:val="BodyText"/>
      </w:pPr>
      <w:r>
        <w:t xml:space="preserve">Dicho de otro modo: casi la mitad del esfuerzo de remediación de un solo módulo es trabajo que, ejecutado sobre la base actual, habría que volver a hacer. Esa es la forma concreta que toma la deuda descrita en la alternativa B.</w:t>
      </w:r>
    </w:p>
    <w:p>
      <w:pPr>
        <w:pStyle w:val="BodyText"/>
      </w:pPr>
      <w:r>
        <w:rPr>
          <w:bCs/>
          <w:b/>
        </w:rPr>
        <w:t xml:space="preserve">Y en el párrafo «Qué reduce el riesgo económico de esta segunda etapa»</w:t>
      </w:r>
      <w:r>
        <w:t xml:space="preserve">, cambiar «de 67 hallazgos de auditoría convertidos en requisitos» por</w:t>
      </w:r>
      <w:r>
        <w:t xml:space="preserve"> </w:t>
      </w:r>
      <w:r>
        <w:rPr>
          <w:bCs/>
          <w:b/>
        </w:rPr>
        <w:t xml:space="preserve">«de 188 hallazgos documentados y convertibles en requisitos»</w:t>
      </w:r>
      <w:r>
        <w:t xml:space="preserve">.</w:t>
      </w:r>
    </w:p>
    <w:p>
      <w:r>
        <w:pict>
          <v:rect style="width:0;height:1.5pt" o:hralign="center" o:hrstd="t" o:hr="t"/>
        </w:pict>
      </w:r>
    </w:p>
    <w:bookmarkEnd w:id="28"/>
    <w:bookmarkStart w:id="29" w:name="sección-5.1-punto-3-de-la-lista"/>
    <w:p>
      <w:pPr>
        <w:pStyle w:val="Heading1"/>
      </w:pPr>
      <w:r>
        <w:t xml:space="preserve">9 · Sección 5.1 — punto 3 de la lista</w:t>
      </w:r>
    </w:p>
    <w:p>
      <w:pPr>
        <w:pStyle w:val="FirstParagraph"/>
      </w:pPr>
      <w:r>
        <w:rPr>
          <w:bCs/>
          <w:b/>
        </w:rPr>
        <w:t xml:space="preserve">Reemplazar</w:t>
      </w:r>
      <w:r>
        <w:t xml:space="preserve"> </w:t>
      </w:r>
      <w:r>
        <w:t xml:space="preserve">el punto 3 («Los 67 hallazgos de la auditoría de Adquisiciones…») por:</w:t>
      </w:r>
    </w:p>
    <w:p>
      <w:pPr>
        <w:numPr>
          <w:ilvl w:val="0"/>
          <w:numId w:val="1004"/>
        </w:numPr>
        <w:pStyle w:val="Compact"/>
      </w:pPr>
      <w:r>
        <w:rPr>
          <w:bCs/>
          <w:b/>
        </w:rPr>
        <w:t xml:space="preserve">Los 188 hallazgos del control de calidad interno</w:t>
      </w:r>
      <w:r>
        <w:t xml:space="preserve">, traducidos de «error a corregir» a «requisito que el sistema nuevo debe cumplir y contra el cual se recibe», con su severidad, su categoría y —en 67 de ellos— la cláusula contractual que los respalda. Los 53 hallazgos invalidantes constituyen el primer conjunto de casos de prueba de recepción.</w:t>
      </w:r>
    </w:p>
    <w:p>
      <w:r>
        <w:pict>
          <v:rect style="width:0;height:1.5pt" o:hralign="center" o:hrstd="t" o:hr="t"/>
        </w:pict>
      </w:r>
    </w:p>
    <w:bookmarkEnd w:id="29"/>
    <w:bookmarkStart w:id="30" w:name="X32637a5817ef8a050716eee4b2e8c8dac898e43"/>
    <w:p>
      <w:pPr>
        <w:pStyle w:val="Heading1"/>
      </w:pPr>
      <w:r>
        <w:t xml:space="preserve">10 · Sección 5.3 «La titularidad del código» — reemplazar completa</w:t>
      </w:r>
    </w:p>
    <w:p>
      <w:pPr>
        <w:pStyle w:val="FirstParagraph"/>
      </w:pPr>
      <w:r>
        <w:rPr>
          <w:bCs/>
          <w:b/>
        </w:rPr>
        <w:t xml:space="preserve">Este es el cambio de fondo.</w:t>
      </w:r>
      <w:r>
        <w:t xml:space="preserve"> </w:t>
      </w:r>
      <w:r>
        <w:t xml:space="preserve">En la primera versión la titularidad quedaba sin acreditar; ahora está acreditada. Reemplazar todo el cuerpo de la sección, desde «Sobre la titularidad de los derechos corresponde ser preciso…» hasta el final de la sección, por:</w:t>
      </w:r>
    </w:p>
    <w:p>
      <w:pPr>
        <w:pStyle w:val="BodyText"/>
      </w:pPr>
      <w:r>
        <w:t xml:space="preserve">Sobre la</w:t>
      </w:r>
      <w:r>
        <w:t xml:space="preserve"> </w:t>
      </w:r>
      <w:r>
        <w:rPr>
          <w:bCs/>
          <w:b/>
        </w:rPr>
        <w:t xml:space="preserve">titularidad de los derechos</w:t>
      </w:r>
      <w:r>
        <w:t xml:space="preserve"> </w:t>
      </w:r>
      <w:r>
        <w:t xml:space="preserve">corresponde ser preciso, porque no está en el instrumento que se firmó sino en el que lo rige.</w:t>
      </w:r>
    </w:p>
    <w:p>
      <w:pPr>
        <w:pStyle w:val="BodyText"/>
      </w:pPr>
      <w:r>
        <w:t xml:space="preserve">Ni la Intención de Compra ni el Acuerdo Complementario contienen cláusula de propiedad intelectual sobre el software desarrollado. Sí establecen confidencialidad durante la vigencia del contrato y por cinco años posteriores, y la prohibición de que la contratista utilice la documentación y los antecedentes conocidos con ocasión del contrato para finalidades ajenas a su ejecución.</w:t>
      </w:r>
    </w:p>
    <w:p>
      <w:pPr>
        <w:pStyle w:val="BodyText"/>
      </w:pPr>
      <w:r>
        <w:t xml:space="preserve">El régimen aplicable proviene de las bases del Convenio Marco ID 2239-19-LR23, en dos disposiciones:</w:t>
      </w:r>
    </w:p>
    <w:p>
      <w:pPr>
        <w:numPr>
          <w:ilvl w:val="0"/>
          <w:numId w:val="1005"/>
        </w:numPr>
      </w:pPr>
      <w:r>
        <w:t xml:space="preserve">La</w:t>
      </w:r>
      <w:r>
        <w:t xml:space="preserve"> </w:t>
      </w:r>
      <w:r>
        <w:rPr>
          <w:bCs/>
          <w:b/>
        </w:rPr>
        <w:t xml:space="preserve">cláusula 9.2.4, «Propiedad de la información»</w:t>
      </w:r>
      <w:r>
        <w:t xml:space="preserve">, radica en la entidad licitante la titularidad de «todos los datos de transacciones, bitácoras (logs), parámetros, documentos electrónicos y archivos adjuntos y, en general, de las bases de datos y de toda información contenida en la infraestructura física y tecnológica que le suministre el proveedor contratado y que se generen en virtud de la ejecución de los servicios».</w:t>
      </w:r>
    </w:p>
    <w:p>
      <w:pPr>
        <w:numPr>
          <w:ilvl w:val="0"/>
          <w:numId w:val="1005"/>
        </w:numPr>
      </w:pPr>
      <w:r>
        <w:t xml:space="preserve">Las</w:t>
      </w:r>
      <w:r>
        <w:t xml:space="preserve"> </w:t>
      </w:r>
      <w:r>
        <w:rPr>
          <w:bCs/>
          <w:b/>
        </w:rPr>
        <w:t xml:space="preserve">respuestas al foro de la licitación, aprobadas por Resolución Exenta N° 0070-B de 20 de febrero de 2024</w:t>
      </w:r>
      <w:r>
        <w:t xml:space="preserve">, responden la consulta N° 628 —«La propiedad intelectual de las soluciones tecnológicas, desarrollos o integraciones son del proponente?»— en los siguientes términos:</w:t>
      </w:r>
      <w:r>
        <w:t xml:space="preserve"> </w:t>
      </w:r>
      <w:r>
        <w:rPr>
          <w:bCs/>
          <w:b/>
        </w:rPr>
        <w:t xml:space="preserve">«De la entidad compradora (cesión completa de derecho)»</w:t>
      </w:r>
      <w:r>
        <w:t xml:space="preserve">.</w:t>
      </w:r>
    </w:p>
    <w:p>
      <w:pPr>
        <w:pStyle w:val="FirstParagraph"/>
      </w:pPr>
      <w:r>
        <w:t xml:space="preserve">Esa respuesta no es un pronunciamiento informal. La propia Resolución N° 0070-B declara que «estas respuestas forman parte integral de las bases», y la cláusula 10.1 de las bases fija el orden de prelación del convenio marco situando «las bases de licitación, sus anexos, aclaraciones, respuestas y modificaciones» inmediatamente después de la Ley N° 19.886 y su reglamento, es decir por sobre las ofertas adjudicadas, el convenio marco suscrito y las órdenes de compra.</w:t>
      </w:r>
    </w:p>
    <w:p>
      <w:pPr>
        <w:pStyle w:val="BodyText"/>
      </w:pPr>
      <w:r>
        <w:t xml:space="preserve">En consecuencia,</w:t>
      </w:r>
      <w:r>
        <w:t xml:space="preserve"> </w:t>
      </w:r>
      <w:r>
        <w:rPr>
          <w:bCs/>
          <w:b/>
        </w:rPr>
        <w:t xml:space="preserve">la propiedad intelectual de los desarrollos efectuados en el ciclo 2024–2025 corresponde a SUBDERE como entidad compradora, con cesión completa de derecho</w:t>
      </w:r>
      <w:r>
        <w:t xml:space="preserve">, y el código fuente y el repositorio ya obran en su poder.</w:t>
      </w:r>
    </w:p>
    <w:p>
      <w:pPr>
        <w:pStyle w:val="BlockText"/>
      </w:pPr>
      <w:r>
        <w:rPr>
          <w:iCs/>
          <w:i/>
        </w:rPr>
        <w:t xml:space="preserve">[Por completar antes del envío: pronunciamiento de la unidad jurídica que confirme el alcance de esta conclusión. Se hace presente que la consulta N° 819 del mismo foro, sobre el manejo de la propiedad intelectual en desarrollos de software personalizado, se remite a la respuesta N° 543, según la cual los requerimientos técnicos específicos de cada proyecto los define el organismo comprador en su solicitud de cotización.]</w:t>
      </w:r>
    </w:p>
    <w:p>
      <w:pPr>
        <w:pStyle w:val="FirstParagraph"/>
      </w:pPr>
      <w:r>
        <w:t xml:space="preserve">Lo que la experiencia aconseja corregir no es, por lo tanto, la titularidad, sino su ubicación: un derecho que existe en las respuestas a un foro de un convenio marco es menos operativo que uno escrito en el contrato que se firma. Por eso la segunda etapa incorpora como condición no negociable de las bases propias la</w:t>
      </w:r>
      <w:r>
        <w:t xml:space="preserve"> </w:t>
      </w:r>
      <w:r>
        <w:rPr>
          <w:bCs/>
          <w:b/>
        </w:rPr>
        <w:t xml:space="preserve">propiedad estatal del código desarrollado</w:t>
      </w:r>
      <w:r>
        <w:t xml:space="preserve">, con cláusula expresa de cesión de derechos, entrega de código fuente y documentación como producto, licenciamiento abierto de los componentes y obligaciones de portabilidad.</w:t>
      </w:r>
    </w:p>
    <w:p>
      <w:r>
        <w:pict>
          <v:rect style="width:0;height:1.5pt" o:hralign="center" o:hrstd="t" o:hr="t"/>
        </w:pict>
      </w:r>
    </w:p>
    <w:bookmarkEnd w:id="30"/>
    <w:bookmarkStart w:id="31" w:name="Xbaa0b39b22c64d5428f462f4cb2c1c056af117b"/>
    <w:p>
      <w:pPr>
        <w:pStyle w:val="Heading1"/>
      </w:pPr>
      <w:r>
        <w:t xml:space="preserve">11 · Fuentes — reemplazar tres entradas y agregar cuatro</w:t>
      </w:r>
    </w:p>
    <w:p>
      <w:pPr>
        <w:pStyle w:val="FirstParagraph"/>
      </w:pPr>
      <w:r>
        <w:rPr>
          <w:bCs/>
          <w:b/>
        </w:rPr>
        <w:t xml:space="preserve">Eliminar</w:t>
      </w:r>
      <w:r>
        <w:t xml:space="preserve"> </w:t>
      </w:r>
      <w:r>
        <w:t xml:space="preserve">la entrada que empieza «Licitación pública ID N° 2239-19-LR23 […] Ficha publicada en www.mercadopublico.cl; el documento de bases no fue revisado para este informe» y la que dice «Auditoría de calidad del módulo de Adquisiciones, julio de 2026 (67 puntos)».</w:t>
      </w:r>
    </w:p>
    <w:p>
      <w:pPr>
        <w:pStyle w:val="BodyText"/>
      </w:pPr>
      <w:r>
        <w:rPr>
          <w:bCs/>
          <w:b/>
        </w:rPr>
        <w:t xml:space="preserve">Agregar, en el lugar de la primera:</w:t>
      </w:r>
    </w:p>
    <w:p>
      <w:pPr>
        <w:numPr>
          <w:ilvl w:val="0"/>
          <w:numId w:val="1006"/>
        </w:numPr>
        <w:pStyle w:val="Compact"/>
      </w:pPr>
      <w:r>
        <w:t xml:space="preserve">Bases de la licitación pública ID N° 2239-19-LR23, «Convenio Marco para la adquisición de Servicios de Desarrollo y Mantención de Software, Servicios Profesionales TI e Infraestructura como Servicio», aprobadas por Resolución Exenta N° 007-B de 8 de enero de 2024, Dirección de Compras y Contratación Pública. Cláusulas 9.2.4 y 10.1.</w:t>
      </w:r>
    </w:p>
    <w:p>
      <w:pPr>
        <w:numPr>
          <w:ilvl w:val="0"/>
          <w:numId w:val="1006"/>
        </w:numPr>
        <w:pStyle w:val="Compact"/>
      </w:pPr>
      <w:r>
        <w:t xml:space="preserve">Resolución Exenta N° 0070-B, de 20 de febrero de 2024, que aprueba las preguntas y respuestas de la licitación ID N° 2239-19-LR23 y declara que forman parte integral de las bases. Consultas N° 628, 819 y 543.</w:t>
      </w:r>
    </w:p>
    <w:p>
      <w:pPr>
        <w:numPr>
          <w:ilvl w:val="0"/>
          <w:numId w:val="1006"/>
        </w:numPr>
        <w:pStyle w:val="Compact"/>
      </w:pPr>
      <w:r>
        <w:t xml:space="preserve">Anexo N° 9, «Formato de contrato tipo Convenio Marco», licitación ID N° 2239-19-LR23.</w:t>
      </w:r>
    </w:p>
    <w:p>
      <w:pPr>
        <w:numPr>
          <w:ilvl w:val="0"/>
          <w:numId w:val="1006"/>
        </w:numPr>
        <w:pStyle w:val="Compact"/>
      </w:pPr>
      <w:r>
        <w:t xml:space="preserve">División de Gobierno Digital.</w:t>
      </w:r>
      <w:r>
        <w:t xml:space="preserve"> </w:t>
      </w:r>
      <w:r>
        <w:rPr>
          <w:iCs/>
          <w:i/>
        </w:rPr>
        <w:t xml:space="preserve">Lineamientos para el desarrollo de software en instituciones públicas</w:t>
      </w:r>
      <w:r>
        <w:t xml:space="preserve">, versión 2.0, mayo de 2021, anexo de la licitación ID N° 2239-19-LR23.</w:t>
      </w:r>
    </w:p>
    <w:p>
      <w:pPr>
        <w:pStyle w:val="FirstParagraph"/>
      </w:pPr>
      <w:r>
        <w:rPr>
          <w:bCs/>
          <w:b/>
        </w:rPr>
        <w:t xml:space="preserve">Y en el lugar de la segunda:</w:t>
      </w:r>
    </w:p>
    <w:p>
      <w:pPr>
        <w:numPr>
          <w:ilvl w:val="0"/>
          <w:numId w:val="1007"/>
        </w:numPr>
        <w:pStyle w:val="Compact"/>
      </w:pPr>
      <w:r>
        <w:t xml:space="preserve">Control de calidad interno sobre los seis módulos del SGM, 4 de junio a 1 de julio de 2026: 188 hallazgos con severidad, categoría, carácter invalidante y respaldo contractual; estimación de esfuerzo de remediación en el módulo de Adquisiciones.</w:t>
      </w:r>
    </w:p>
    <w:p>
      <w:pPr>
        <w:numPr>
          <w:ilvl w:val="0"/>
          <w:numId w:val="1007"/>
        </w:numPr>
        <w:pStyle w:val="Compact"/>
      </w:pPr>
      <w:r>
        <w:t xml:space="preserve">Auditoría de interfaces de carga y descarga de datos, junio de 2026 (43 interfaces).</w:t>
      </w:r>
    </w:p>
    <w:p>
      <w:r>
        <w:pict>
          <v:rect style="width:0;height:1.5pt" o:hralign="center" o:hrstd="t" o:hr="t"/>
        </w:pict>
      </w:r>
    </w:p>
    <w:bookmarkEnd w:id="31"/>
    <w:bookmarkStart w:id="32" w:name="verificación-rápida-al-terminar"/>
    <w:p>
      <w:pPr>
        <w:pStyle w:val="Heading1"/>
      </w:pPr>
      <w:r>
        <w:t xml:space="preserve">Verificación rápida al terminar</w:t>
      </w:r>
    </w:p>
    <w:p>
      <w:pPr>
        <w:pStyle w:val="FirstParagraph"/>
      </w:pPr>
      <w:r>
        <w:t xml:space="preserve">Una vez aplicados los once cambios, busque en el documento la cifra</w:t>
      </w:r>
      <w:r>
        <w:t xml:space="preserve"> </w:t>
      </w:r>
      <w:r>
        <w:rPr>
          <w:bCs/>
          <w:b/>
        </w:rPr>
        <w:t xml:space="preserve">«67»</w:t>
      </w:r>
      <w:r>
        <w:t xml:space="preserve"> </w:t>
      </w:r>
      <w:r>
        <w:t xml:space="preserve">y confirme que solo aparece en tres contextos legítimos: los 67 hallazgos del módulo de Adquisiciones, los 67 hallazgos con respaldo en la Intención de Compra, y el número de la Resolución 007-B. Cualquier otra aparición corresponde a la versión anterior.</w:t>
      </w:r>
    </w:p>
    <w:p>
      <w:pPr>
        <w:pStyle w:val="BodyText"/>
      </w:pPr>
      <w:r>
        <w:t xml:space="preserve">Confirme también que la sección 2 llega hasta</w:t>
      </w:r>
      <w:r>
        <w:t xml:space="preserve"> </w:t>
      </w:r>
      <w:r>
        <w:rPr>
          <w:bCs/>
          <w:b/>
        </w:rPr>
        <w:t xml:space="preserve">2.7</w:t>
      </w:r>
      <w:r>
        <w:t xml:space="preserve"> </w:t>
      </w:r>
      <w:r>
        <w:t xml:space="preserve">y que no quedaron dos secciones con el mismo número.</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Cambios sobre la primera versión</dc:title>
  <dc:creator/>
  <dc:language>es-CL</dc:language>
  <cp:keywords/>
  <dcterms:created xsi:type="dcterms:W3CDTF">2026-09-25T21:29:57Z</dcterms:created>
  <dcterms:modified xsi:type="dcterms:W3CDTF">2026-09-25T21:29:57Z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Septiembre de 2026</vt:lpwstr>
  </property>
  <property fmtid="{D5CDD505-2E9C-101B-9397-08002B2CF9AE}" pid="3" name="subtitle">
    <vt:lpwstr>SGM — Estado, alternativas y segunda etapa · guía para aplicar sobre el documento ya editado en línea</vt:lpwstr>
  </property>
</Properties>
</file>