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de</w:t>
      </w:r>
      <w:r>
        <w:t xml:space="preserve"> </w:t>
      </w:r>
      <w:r>
        <w:t xml:space="preserve">Gestión</w:t>
      </w:r>
      <w:r>
        <w:t xml:space="preserve"> </w:t>
      </w:r>
      <w:r>
        <w:t xml:space="preserve">Municipal</w:t>
      </w:r>
    </w:p>
    <w:p>
      <w:pPr>
        <w:pStyle w:val="Subtitle"/>
      </w:pPr>
      <w:r>
        <w:t xml:space="preserve">Estado</w:t>
      </w:r>
      <w:r>
        <w:t xml:space="preserve"> </w:t>
      </w:r>
      <w:r>
        <w:t xml:space="preserve">del</w:t>
      </w:r>
      <w:r>
        <w:t xml:space="preserve"> </w:t>
      </w:r>
      <w:r>
        <w:t xml:space="preserve">ciclo</w:t>
      </w:r>
      <w:r>
        <w:t xml:space="preserve"> </w:t>
      </w:r>
      <w:r>
        <w:t xml:space="preserve">2024–2025,</w:t>
      </w:r>
      <w:r>
        <w:t xml:space="preserve"> </w:t>
      </w:r>
      <w:r>
        <w:t xml:space="preserve">alternativas</w:t>
      </w:r>
      <w:r>
        <w:t xml:space="preserve"> </w:t>
      </w:r>
      <w:r>
        <w:t xml:space="preserve">evaluadas</w:t>
      </w:r>
      <w:r>
        <w:t xml:space="preserve"> </w:t>
      </w:r>
      <w:r>
        <w:t xml:space="preserve">y</w:t>
      </w:r>
      <w:r>
        <w:t xml:space="preserve"> </w:t>
      </w:r>
      <w:r>
        <w:t xml:space="preserve">propuesta</w:t>
      </w:r>
      <w:r>
        <w:t xml:space="preserve"> </w:t>
      </w:r>
      <w:r>
        <w:t xml:space="preserve">de</w:t>
      </w:r>
      <w:r>
        <w:t xml:space="preserve"> </w:t>
      </w:r>
      <w:r>
        <w:t xml:space="preserve">segunda</w:t>
      </w:r>
      <w:r>
        <w:t xml:space="preserve"> </w:t>
      </w:r>
      <w:r>
        <w:t xml:space="preserve">etapa</w:t>
      </w:r>
    </w:p>
    <w:p>
      <w:pPr>
        <w:pStyle w:val="Date"/>
      </w:pPr>
      <w:r>
        <w:t xml:space="preserve">Septiembre</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Subsecretaría de Desarrollo Regional y Administrativo.</w:t>
      </w:r>
      <w:r>
        <w:t xml:space="preserve"> </w:t>
      </w:r>
      <w:r>
        <w:t xml:space="preserve">Documento preparado en respuesta a la solicitud de antecedentes sobre el Sistema de Gestión Municipal (SGM).</w:t>
      </w:r>
    </w:p>
    <w:p>
      <w:r>
        <w:pict>
          <v:rect style="width:0;height:1.5pt" o:hralign="center" o:hrstd="t" o:hr="t"/>
        </w:pict>
      </w:r>
    </w:p>
    <w:bookmarkStart w:id="20" w:name="propósito-y-alcance-de-este-documento"/>
    <w:p>
      <w:pPr>
        <w:pStyle w:val="Heading1"/>
      </w:pPr>
      <w:r>
        <w:t xml:space="preserve">Propósito y alcance de este documento</w:t>
      </w:r>
    </w:p>
    <w:p>
      <w:pPr>
        <w:pStyle w:val="FirstParagraph"/>
      </w:pPr>
      <w:r>
        <w:t xml:space="preserve">Este informe responde a la solicitud de precisar el estado del Sistema de Gestión Municipal, las alternativas evaluadas, la justificación de una nueva contratación, el resguardo de la inversión ya realizada y la ruta de implementación propuesta.</w:t>
      </w:r>
    </w:p>
    <w:p>
      <w:pPr>
        <w:pStyle w:val="BodyText"/>
      </w:pPr>
      <w:r>
        <w:t xml:space="preserve">Se presenta como</w:t>
      </w:r>
      <w:r>
        <w:t xml:space="preserve"> </w:t>
      </w:r>
      <w:r>
        <w:rPr>
          <w:bCs/>
          <w:b/>
        </w:rPr>
        <w:t xml:space="preserve">segunda etapa del proyecto SGM</w:t>
      </w:r>
      <w:r>
        <w:t xml:space="preserve">, en los términos que el propio instrumento de 2024 estableció. La Intención de Compra que dio origen al ciclo anterior señala:</w:t>
      </w:r>
    </w:p>
    <w:p>
      <w:pPr>
        <w:pStyle w:val="BlockText"/>
      </w:pPr>
      <w:r>
        <w:t xml:space="preserve">«Este llamado es parte de un proyecto mayor, en el cual sus etapas previas han permitido realizar un diagnóstico de la situación de los municipios, un modelamiento de procesos estándar para la operación de los procesos municipales y un diseño del modelo de negocios y de operación de esta solución.»</w:t>
      </w:r>
    </w:p>
    <w:p>
      <w:pPr>
        <w:pStyle w:val="BlockText"/>
      </w:pPr>
      <w:r>
        <w:t xml:space="preserve">— Intención de Compra, numeral 3, octubre de 2024.</w:t>
      </w:r>
    </w:p>
    <w:p>
      <w:pPr>
        <w:pStyle w:val="FirstParagraph"/>
      </w:pPr>
      <w:r>
        <w:t xml:space="preserve">El ciclo 2024–2025 fue, en esa secuencia, la etapa de desarrollo y validación en terreno. Lo que sigue describe qué produjo esa etapa, qué estableció, y por qué la etapa siguiente requiere un instrumento y una plataforma distintos conservando íntegramente los objetivos originales.</w:t>
      </w:r>
    </w:p>
    <w:p>
      <w:r>
        <w:pict>
          <v:rect style="width:0;height:1.5pt" o:hralign="center" o:hrstd="t" o:hr="t"/>
        </w:pict>
      </w:r>
    </w:p>
    <w:bookmarkEnd w:id="20"/>
    <w:bookmarkStart w:id="21" w:name="Xa6b3a0a9aa64570150ebca2e9b58443961600e5"/>
    <w:p>
      <w:pPr>
        <w:pStyle w:val="Heading1"/>
      </w:pPr>
      <w:r>
        <w:t xml:space="preserve">1. Identificación de la contratación anterior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Objeto</w:t>
            </w:r>
          </w:p>
        </w:tc>
        <w:tc>
          <w:tcPr/>
          <w:p>
            <w:pPr>
              <w:pStyle w:val="Compact"/>
              <w:jc w:val="left"/>
            </w:pPr>
            <w:r>
              <w:t xml:space="preserve">«Desarrollo y Adaptación Sistema Odoo para Nuevo Sistema de Gestión Municipal»</w:t>
            </w:r>
          </w:p>
        </w:tc>
      </w:tr>
      <w:tr>
        <w:tc>
          <w:tcPr/>
          <w:p>
            <w:pPr>
              <w:pStyle w:val="Compact"/>
              <w:jc w:val="left"/>
            </w:pPr>
            <w:r>
              <w:rPr>
                <w:bCs/>
                <w:b/>
              </w:rPr>
              <w:t xml:space="preserve">Modalidad</w:t>
            </w:r>
          </w:p>
        </w:tc>
        <w:tc>
          <w:tcPr/>
          <w:p>
            <w:pPr>
              <w:pStyle w:val="Compact"/>
              <w:jc w:val="left"/>
            </w:pPr>
            <w:r>
              <w:t xml:space="preserve">Gran Compra vía Convenio Marco, artículo 14 bis del Reglamento de la Ley 19.886</w:t>
            </w:r>
          </w:p>
        </w:tc>
      </w:tr>
      <w:tr>
        <w:tc>
          <w:tcPr/>
          <w:p>
            <w:pPr>
              <w:pStyle w:val="Compact"/>
              <w:jc w:val="left"/>
            </w:pPr>
            <w:r>
              <w:rPr>
                <w:bCs/>
                <w:b/>
              </w:rPr>
              <w:t xml:space="preserve">Convenio Marco</w:t>
            </w:r>
          </w:p>
        </w:tc>
        <w:tc>
          <w:tcPr/>
          <w:p>
            <w:pPr>
              <w:pStyle w:val="Compact"/>
              <w:jc w:val="left"/>
            </w:pPr>
            <w:r>
              <w:t xml:space="preserve">ID N° 2239-19-LR23, Categoría A, Subcategoría A.1 «Desarrollo de Software»</w:t>
            </w:r>
          </w:p>
        </w:tc>
      </w:tr>
      <w:tr>
        <w:tc>
          <w:tcPr/>
          <w:p>
            <w:pPr>
              <w:pStyle w:val="Compact"/>
              <w:jc w:val="left"/>
            </w:pPr>
            <w:r>
              <w:rPr>
                <w:bCs/>
                <w:b/>
              </w:rPr>
              <w:t xml:space="preserve">Proceso</w:t>
            </w:r>
          </w:p>
        </w:tc>
        <w:tc>
          <w:tcPr/>
          <w:p>
            <w:pPr>
              <w:pStyle w:val="Compact"/>
              <w:jc w:val="left"/>
            </w:pPr>
            <w:r>
              <w:t xml:space="preserve">Gran Compra ID N° 5802363-3828QOXC · Expediente E17873/2024</w:t>
            </w:r>
          </w:p>
        </w:tc>
      </w:tr>
      <w:tr>
        <w:tc>
          <w:tcPr/>
          <w:p>
            <w:pPr>
              <w:pStyle w:val="Compact"/>
              <w:jc w:val="left"/>
            </w:pPr>
            <w:r>
              <w:rPr>
                <w:bCs/>
                <w:b/>
              </w:rPr>
              <w:t xml:space="preserve">Adjudicación</w:t>
            </w:r>
          </w:p>
        </w:tc>
        <w:tc>
          <w:tcPr/>
          <w:p>
            <w:pPr>
              <w:pStyle w:val="Compact"/>
              <w:jc w:val="left"/>
            </w:pPr>
            <w:r>
              <w:t xml:space="preserve">Resolución Exenta N° 12047, de 12 de diciembre de 2024</w:t>
            </w:r>
          </w:p>
        </w:tc>
      </w:tr>
      <w:tr>
        <w:tc>
          <w:tcPr/>
          <w:p>
            <w:pPr>
              <w:pStyle w:val="Compact"/>
              <w:jc w:val="left"/>
            </w:pPr>
            <w:r>
              <w:rPr>
                <w:bCs/>
                <w:b/>
              </w:rPr>
              <w:t xml:space="preserve">Acuerdo Complementario</w:t>
            </w:r>
          </w:p>
        </w:tc>
        <w:tc>
          <w:tcPr/>
          <w:p>
            <w:pPr>
              <w:pStyle w:val="Compact"/>
              <w:jc w:val="left"/>
            </w:pPr>
            <w:r>
              <w:t xml:space="preserve">Suscrito el 20 de diciembre de 2024</w:t>
            </w:r>
          </w:p>
        </w:tc>
      </w:tr>
      <w:tr>
        <w:tc>
          <w:tcPr/>
          <w:p>
            <w:pPr>
              <w:pStyle w:val="Compact"/>
              <w:jc w:val="left"/>
            </w:pPr>
            <w:r>
              <w:rPr>
                <w:bCs/>
                <w:b/>
              </w:rPr>
              <w:t xml:space="preserve">Presupuesto máximo del proceso</w:t>
            </w:r>
          </w:p>
        </w:tc>
        <w:tc>
          <w:tcPr/>
          <w:p>
            <w:pPr>
              <w:pStyle w:val="Compact"/>
              <w:jc w:val="left"/>
            </w:pPr>
            <w:r>
              <w:t xml:space="preserve">$198.203.333, impuestos incluidos</w:t>
            </w:r>
          </w:p>
        </w:tc>
      </w:tr>
      <w:tr>
        <w:tc>
          <w:tcPr/>
          <w:p>
            <w:pPr>
              <w:pStyle w:val="Compact"/>
              <w:jc w:val="left"/>
            </w:pPr>
            <w:r>
              <w:rPr>
                <w:bCs/>
                <w:b/>
              </w:rPr>
              <w:t xml:space="preserve">Monto adjudicado</w:t>
            </w:r>
          </w:p>
        </w:tc>
        <w:tc>
          <w:tcPr/>
          <w:p>
            <w:pPr>
              <w:pStyle w:val="Compact"/>
              <w:jc w:val="left"/>
            </w:pPr>
            <w:r>
              <w:t xml:space="preserve">UF 4.317,4200, suma bruta, única y total, en seis cuotas</w:t>
            </w:r>
          </w:p>
        </w:tc>
      </w:tr>
      <w:tr>
        <w:tc>
          <w:tcPr/>
          <w:p>
            <w:pPr>
              <w:pStyle w:val="Compact"/>
              <w:jc w:val="left"/>
            </w:pPr>
            <w:r>
              <w:rPr>
                <w:bCs/>
                <w:b/>
              </w:rPr>
              <w:t xml:space="preserve">Plazo</w:t>
            </w:r>
          </w:p>
        </w:tc>
        <w:tc>
          <w:tcPr/>
          <w:p>
            <w:pPr>
              <w:pStyle w:val="Compact"/>
              <w:jc w:val="left"/>
            </w:pPr>
            <w:r>
              <w:t xml:space="preserve">9 meses corridos de ejecución, más 2 meses para cierre y liquidación</w:t>
            </w:r>
          </w:p>
        </w:tc>
      </w:tr>
      <w:tr>
        <w:tc>
          <w:tcPr/>
          <w:p>
            <w:pPr>
              <w:pStyle w:val="Compact"/>
              <w:jc w:val="left"/>
            </w:pPr>
            <w:r>
              <w:rPr>
                <w:bCs/>
                <w:b/>
              </w:rPr>
              <w:t xml:space="preserve">Garantía de fiel cumplimiento</w:t>
            </w:r>
          </w:p>
        </w:tc>
        <w:tc>
          <w:tcPr/>
          <w:p>
            <w:pPr>
              <w:pStyle w:val="Compact"/>
              <w:jc w:val="left"/>
            </w:pPr>
            <w:r>
              <w:t xml:space="preserve">UF 215,87 (5 % del contrato), vigente hasta el 30 de marzo de 2026</w:t>
            </w:r>
          </w:p>
        </w:tc>
      </w:tr>
    </w:tbl>
    <w:p>
      <w:pPr>
        <w:pStyle w:val="BodyText"/>
      </w:pPr>
      <w:r>
        <w:t xml:space="preserve">Una precisión de método, porque incide en la lectura de todo lo que sigue:</w:t>
      </w:r>
      <w:r>
        <w:t xml:space="preserve"> </w:t>
      </w:r>
      <w:r>
        <w:rPr>
          <w:bCs/>
          <w:b/>
        </w:rPr>
        <w:t xml:space="preserve">el ciclo anterior no se contrató mediante licitación pública, sino mediante una gran compra sobre un convenio marco vigente</w:t>
      </w:r>
      <w:r>
        <w:t xml:space="preserve">. La evaluación se restringió a los proveedores ya adjudicados en la subcategoría y a los criterios técnicos adicionales que esa modalidad admite. Parte de las condiciones que hoy se identifican como indispensables no eran exigibles con ese instrumento. Este punto se retoma en la sección 3.</w:t>
      </w:r>
    </w:p>
    <w:p>
      <w:r>
        <w:pict>
          <v:rect style="width:0;height:1.5pt" o:hralign="center" o:hrstd="t" o:hr="t"/>
        </w:pict>
      </w:r>
    </w:p>
    <w:bookmarkEnd w:id="21"/>
    <w:bookmarkStart w:id="29" w:name="estado-actual-del-sgm"/>
    <w:p>
      <w:pPr>
        <w:pStyle w:val="Heading1"/>
      </w:pPr>
      <w:r>
        <w:t xml:space="preserve">2. Estado actual del SGM</w:t>
      </w:r>
    </w:p>
    <w:bookmarkStart w:id="22" w:name="X58c0be4aa89ce9d6e6b091f0f2e4e0bbc688d7f"/>
    <w:p>
      <w:pPr>
        <w:pStyle w:val="Heading2"/>
      </w:pPr>
      <w:r>
        <w:t xml:space="preserve">2.1 Qué comprometía la contratación como resultado</w:t>
      </w:r>
    </w:p>
    <w:p>
      <w:pPr>
        <w:pStyle w:val="FirstParagraph"/>
      </w:pPr>
      <w:r>
        <w:t xml:space="preserve">El objetivo general, idéntico en la Intención de Compra y en el Acuerdo Complementario, fue:</w:t>
      </w:r>
    </w:p>
    <w:p>
      <w:pPr>
        <w:pStyle w:val="BlockText"/>
      </w:pPr>
      <w:r>
        <w:t xml:space="preserve">«Adaptar Odoo ERP de código abierto como código base y desarrollar requerimientos complementarios,</w:t>
      </w:r>
      <w:r>
        <w:t xml:space="preserve"> </w:t>
      </w:r>
      <w:r>
        <w:rPr>
          <w:bCs/>
          <w:b/>
        </w:rPr>
        <w:t xml:space="preserve">preparando una solución de software</w:t>
      </w:r>
      <w:r>
        <w:t xml:space="preserve"> </w:t>
      </w:r>
      <w:r>
        <w:t xml:space="preserve">que permita ofrecer desde SUBDERE servicios en modalidad SaaS a las municipalidades del país que lo requieran.»</w:t>
      </w:r>
    </w:p>
    <w:p>
      <w:pPr>
        <w:pStyle w:val="FirstParagraph"/>
      </w:pPr>
      <w:r>
        <w:t xml:space="preserve">La plataforma base no fue una propuesta del adjudicatario:</w:t>
      </w:r>
      <w:r>
        <w:t xml:space="preserve"> </w:t>
      </w:r>
      <w:r>
        <w:rPr>
          <w:bCs/>
          <w:b/>
        </w:rPr>
        <w:t xml:space="preserve">fue una definición de SUBDERE incorporada al objeto contractual</w:t>
      </w:r>
      <w:r>
        <w:t xml:space="preserve">. La Intención de Compra establece que «la propuesta técnica se debe basar en el desarrollo y adaptación de Odoo ERP […] utilizando sólo la versión gratuita», y la evaluación técnica asignaba puntaje por experiencia y certificación en esa plataforma. Ningún oferente podía proponer una base distinta.</w:t>
      </w:r>
    </w:p>
    <w:p>
      <w:pPr>
        <w:pStyle w:val="BodyText"/>
      </w:pPr>
      <w:r>
        <w:t xml:space="preserve">El resultado comprometido se expresa en seis informes con sus entregables y plazos: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Informe</w:t>
            </w:r>
          </w:p>
        </w:tc>
        <w:tc>
          <w:tcPr/>
          <w:p>
            <w:pPr>
              <w:pStyle w:val="Compact"/>
              <w:jc w:val="left"/>
            </w:pPr>
            <w:r>
              <w:t xml:space="preserve">Contenido</w:t>
            </w:r>
          </w:p>
        </w:tc>
        <w:tc>
          <w:tcPr/>
          <w:p>
            <w:pPr>
              <w:pStyle w:val="Compact"/>
              <w:jc w:val="left"/>
            </w:pPr>
            <w:r>
              <w:t xml:space="preserve">Plazo (días)</w:t>
            </w:r>
          </w:p>
        </w:tc>
        <w:tc>
          <w:tcPr/>
          <w:p>
            <w:pPr>
              <w:pStyle w:val="Compact"/>
              <w:jc w:val="left"/>
            </w:pPr>
            <w:r>
              <w:t xml:space="preserve">Cuota</w:t>
            </w:r>
          </w:p>
        </w:tc>
      </w:tr>
      <w:tr>
        <w:tc>
          <w:tcPr/>
          <w:p>
            <w:pPr>
              <w:pStyle w:val="Compact"/>
              <w:jc w:val="left"/>
            </w:pPr>
            <w:r>
              <w:t xml:space="preserve">1</w:t>
            </w:r>
          </w:p>
        </w:tc>
        <w:tc>
          <w:tcPr/>
          <w:p>
            <w:pPr>
              <w:pStyle w:val="Compact"/>
              <w:jc w:val="left"/>
            </w:pPr>
            <w:r>
              <w:t xml:space="preserve">Definición y planificación; estudio del proceso; diseño de base de datos</w:t>
            </w:r>
          </w:p>
        </w:tc>
        <w:tc>
          <w:tcPr/>
          <w:p>
            <w:pPr>
              <w:pStyle w:val="Compact"/>
              <w:jc w:val="left"/>
            </w:pPr>
            <w:r>
              <w:t xml:space="preserve">30</w:t>
            </w:r>
          </w:p>
        </w:tc>
        <w:tc>
          <w:tcPr/>
          <w:p>
            <w:pPr>
              <w:pStyle w:val="Compact"/>
              <w:jc w:val="left"/>
            </w:pPr>
            <w:r>
              <w:t xml:space="preserve">15 %</w:t>
            </w:r>
          </w:p>
        </w:tc>
      </w:tr>
      <w:tr>
        <w:tc>
          <w:tcPr/>
          <w:p>
            <w:pPr>
              <w:pStyle w:val="Compact"/>
              <w:jc w:val="left"/>
            </w:pPr>
            <w:r>
              <w:t xml:space="preserve">2</w:t>
            </w:r>
          </w:p>
        </w:tc>
        <w:tc>
          <w:tcPr/>
          <w:p>
            <w:pPr>
              <w:pStyle w:val="Compact"/>
              <w:jc w:val="left"/>
            </w:pPr>
            <w:r>
              <w:t xml:space="preserve">Desarrollo del sistema, Fase 1</w:t>
            </w:r>
          </w:p>
        </w:tc>
        <w:tc>
          <w:tcPr/>
          <w:p>
            <w:pPr>
              <w:pStyle w:val="Compact"/>
              <w:jc w:val="left"/>
            </w:pPr>
            <w:r>
              <w:t xml:space="preserve">90</w:t>
            </w:r>
          </w:p>
        </w:tc>
        <w:tc>
          <w:tcPr/>
          <w:p>
            <w:pPr>
              <w:pStyle w:val="Compact"/>
              <w:jc w:val="left"/>
            </w:pPr>
            <w:r>
              <w:t xml:space="preserve">20 %</w:t>
            </w:r>
          </w:p>
        </w:tc>
      </w:tr>
      <w:tr>
        <w:tc>
          <w:tcPr/>
          <w:p>
            <w:pPr>
              <w:pStyle w:val="Compact"/>
              <w:jc w:val="left"/>
            </w:pPr>
            <w:r>
              <w:t xml:space="preserve">3</w:t>
            </w:r>
          </w:p>
        </w:tc>
        <w:tc>
          <w:tcPr/>
          <w:p>
            <w:pPr>
              <w:pStyle w:val="Compact"/>
              <w:jc w:val="left"/>
            </w:pPr>
            <w:r>
              <w:t xml:space="preserve">Pruebas y piloto en municipalidades, Fase 1</w:t>
            </w:r>
          </w:p>
        </w:tc>
        <w:tc>
          <w:tcPr/>
          <w:p>
            <w:pPr>
              <w:pStyle w:val="Compact"/>
              <w:jc w:val="left"/>
            </w:pPr>
            <w:r>
              <w:t xml:space="preserve">120</w:t>
            </w:r>
          </w:p>
        </w:tc>
        <w:tc>
          <w:tcPr/>
          <w:p>
            <w:pPr>
              <w:pStyle w:val="Compact"/>
              <w:jc w:val="left"/>
            </w:pPr>
            <w:r>
              <w:t xml:space="preserve">15 %</w:t>
            </w:r>
          </w:p>
        </w:tc>
      </w:tr>
      <w:tr>
        <w:tc>
          <w:tcPr/>
          <w:p>
            <w:pPr>
              <w:pStyle w:val="Compact"/>
              <w:jc w:val="left"/>
            </w:pPr>
            <w:r>
              <w:t xml:space="preserve">4</w:t>
            </w:r>
          </w:p>
        </w:tc>
        <w:tc>
          <w:tcPr/>
          <w:p>
            <w:pPr>
              <w:pStyle w:val="Compact"/>
              <w:jc w:val="left"/>
            </w:pPr>
            <w:r>
              <w:t xml:space="preserve">Desarrollo del sistema, Fase 2</w:t>
            </w:r>
          </w:p>
        </w:tc>
        <w:tc>
          <w:tcPr/>
          <w:p>
            <w:pPr>
              <w:pStyle w:val="Compact"/>
              <w:jc w:val="left"/>
            </w:pPr>
            <w:r>
              <w:t xml:space="preserve">180</w:t>
            </w:r>
          </w:p>
        </w:tc>
        <w:tc>
          <w:tcPr/>
          <w:p>
            <w:pPr>
              <w:pStyle w:val="Compact"/>
              <w:jc w:val="left"/>
            </w:pPr>
            <w:r>
              <w:t xml:space="preserve">20 %</w:t>
            </w:r>
          </w:p>
        </w:tc>
      </w:tr>
      <w:tr>
        <w:tc>
          <w:tcPr/>
          <w:p>
            <w:pPr>
              <w:pStyle w:val="Compact"/>
              <w:jc w:val="left"/>
            </w:pPr>
            <w:r>
              <w:t xml:space="preserve">5</w:t>
            </w:r>
          </w:p>
        </w:tc>
        <w:tc>
          <w:tcPr/>
          <w:p>
            <w:pPr>
              <w:pStyle w:val="Compact"/>
              <w:jc w:val="left"/>
            </w:pPr>
            <w:r>
              <w:t xml:space="preserve">Pruebas y piloto en municipalidades, Fase 2</w:t>
            </w:r>
          </w:p>
        </w:tc>
        <w:tc>
          <w:tcPr/>
          <w:p>
            <w:pPr>
              <w:pStyle w:val="Compact"/>
              <w:jc w:val="left"/>
            </w:pPr>
            <w:r>
              <w:t xml:space="preserve">210</w:t>
            </w:r>
          </w:p>
        </w:tc>
        <w:tc>
          <w:tcPr/>
          <w:p>
            <w:pPr>
              <w:pStyle w:val="Compact"/>
              <w:jc w:val="left"/>
            </w:pPr>
            <w:r>
              <w:t xml:space="preserve">15 %</w:t>
            </w:r>
          </w:p>
        </w:tc>
      </w:tr>
      <w:tr>
        <w:tc>
          <w:tcPr/>
          <w:p>
            <w:pPr>
              <w:pStyle w:val="Compact"/>
              <w:jc w:val="left"/>
            </w:pPr>
            <w:r>
              <w:t xml:space="preserve">6</w:t>
            </w:r>
          </w:p>
        </w:tc>
        <w:tc>
          <w:tcPr/>
          <w:p>
            <w:pPr>
              <w:pStyle w:val="Compact"/>
              <w:jc w:val="left"/>
            </w:pPr>
            <w:r>
              <w:t xml:space="preserve">Marcha blanca y capacitación en municipalidades</w:t>
            </w:r>
          </w:p>
        </w:tc>
        <w:tc>
          <w:tcPr/>
          <w:p>
            <w:pPr>
              <w:pStyle w:val="Compact"/>
              <w:jc w:val="left"/>
            </w:pPr>
            <w:r>
              <w:t xml:space="preserve">270</w:t>
            </w:r>
          </w:p>
        </w:tc>
        <w:tc>
          <w:tcPr/>
          <w:p>
            <w:pPr>
              <w:pStyle w:val="Compact"/>
              <w:jc w:val="left"/>
            </w:pPr>
            <w:r>
              <w:t xml:space="preserve">15 %</w:t>
            </w:r>
          </w:p>
        </w:tc>
      </w:tr>
    </w:tbl>
    <w:p>
      <w:pPr>
        <w:pStyle w:val="BodyText"/>
      </w:pPr>
      <w:r>
        <w:t xml:space="preserve">El entregable final —Informe 6— es la verificación de que el sistema está en funcionamiento en las cinco municipalidades de la marcha blanca, junto con la documentación de migración, los reportes de monitoreo y los manuales actualizados.</w:t>
      </w:r>
    </w:p>
    <w:p>
      <w:pPr>
        <w:pStyle w:val="BodyText"/>
      </w:pPr>
      <w:r>
        <w:rPr>
          <w:bCs/>
          <w:b/>
        </w:rPr>
        <w:t xml:space="preserve">El techo contractual del ciclo fue, por lo tanto, marcha blanca en cinco municipios.</w:t>
      </w:r>
      <w:r>
        <w:t xml:space="preserve"> </w:t>
      </w:r>
      <w:r>
        <w:t xml:space="preserve">No comprometía operación en producción para el conjunto de los municipios, ni un catálogo de integraciones con organismos del Estado más allá del detalle que se precisa en 2.4. Esta distinción es central para interpretar los hallazgos que siguen: son resultados de una marcha blanca, que es exactamente la función que una marcha blanca cumple.</w:t>
      </w:r>
    </w:p>
    <w:bookmarkEnd w:id="22"/>
    <w:bookmarkStart w:id="23" w:name="qué-se-obtuvo"/>
    <w:p>
      <w:pPr>
        <w:pStyle w:val="Heading2"/>
      </w:pPr>
      <w:r>
        <w:t xml:space="preserve">2.2 Qué se obtuvo</w:t>
      </w:r>
    </w:p>
    <w:p>
      <w:pPr>
        <w:pStyle w:val="FirstParagraph"/>
      </w:pPr>
      <w:r>
        <w:t xml:space="preserve">El ciclo produjo un conjunto de activos que hoy están en poder de SUBDERE y que constituyen el punto de partida de la segunda etapa:</w:t>
      </w:r>
    </w:p>
    <w:p>
      <w:pPr>
        <w:numPr>
          <w:ilvl w:val="0"/>
          <w:numId w:val="1001"/>
        </w:numPr>
        <w:pStyle w:val="Compact"/>
      </w:pPr>
      <w:r>
        <w:rPr>
          <w:bCs/>
          <w:b/>
        </w:rPr>
        <w:t xml:space="preserve">42 procesos municipales levantados y modelados</w:t>
      </w:r>
      <w:r>
        <w:t xml:space="preserve"> </w:t>
      </w:r>
      <w:r>
        <w:t xml:space="preserve">(Anexo N° 12), con sus mapas de proceso, interdependencias y reglas de negocio.</w:t>
      </w:r>
    </w:p>
    <w:p>
      <w:pPr>
        <w:numPr>
          <w:ilvl w:val="0"/>
          <w:numId w:val="1001"/>
        </w:numPr>
        <w:pStyle w:val="Compact"/>
      </w:pPr>
      <w:r>
        <w:rPr>
          <w:bCs/>
          <w:b/>
        </w:rPr>
        <w:t xml:space="preserve">Validación en terreno con cinco municipalidades</w:t>
      </w:r>
      <w:r>
        <w:t xml:space="preserve"> </w:t>
      </w:r>
      <w:r>
        <w:t xml:space="preserve">—Quilaco, Cochamó, Villarrica, María Pinto y Las Cabras—, a lo largo de dos ciclos de desarrollo con jornadas de retroalimentación, un piloto y una marcha blanca con capacitación.</w:t>
      </w:r>
    </w:p>
    <w:p>
      <w:pPr>
        <w:numPr>
          <w:ilvl w:val="0"/>
          <w:numId w:val="1001"/>
        </w:numPr>
        <w:pStyle w:val="Compact"/>
      </w:pPr>
      <w:r>
        <w:rPr>
          <w:bCs/>
          <w:b/>
        </w:rPr>
        <w:t xml:space="preserve">Código fuente completo y acceso al repositorio de control de versiones</w:t>
      </w:r>
      <w:r>
        <w:t xml:space="preserve">, entregado como producto contractual de los Informes 2 y 4.</w:t>
      </w:r>
    </w:p>
    <w:p>
      <w:pPr>
        <w:numPr>
          <w:ilvl w:val="0"/>
          <w:numId w:val="1001"/>
        </w:numPr>
        <w:pStyle w:val="Compact"/>
      </w:pPr>
      <w:r>
        <w:rPr>
          <w:bCs/>
          <w:b/>
        </w:rPr>
        <w:t xml:space="preserve">Un modelo de datos y un mapa de relaciones entre procesos</w:t>
      </w:r>
      <w:r>
        <w:t xml:space="preserve">, extraídos del código y contrastados contra el levantamiento.</w:t>
      </w:r>
    </w:p>
    <w:p>
      <w:pPr>
        <w:numPr>
          <w:ilvl w:val="0"/>
          <w:numId w:val="1001"/>
        </w:numPr>
        <w:pStyle w:val="Compact"/>
      </w:pPr>
      <w:r>
        <w:rPr>
          <w:bCs/>
          <w:b/>
        </w:rPr>
        <w:t xml:space="preserve">Un control de calidad interno completo sobre los seis módulos (junio–julio de 2026), con 188 hallazgos documentados</w:t>
      </w:r>
      <w:r>
        <w:t xml:space="preserve">, clasificados por severidad, categoría de error y respaldo normativo, y con estimación de esfuerzo de remediación en el módulo de mayor cobertura.</w:t>
      </w:r>
    </w:p>
    <w:p>
      <w:pPr>
        <w:numPr>
          <w:ilvl w:val="0"/>
          <w:numId w:val="1001"/>
        </w:numPr>
        <w:pStyle w:val="Compact"/>
      </w:pPr>
      <w:r>
        <w:rPr>
          <w:bCs/>
          <w:b/>
        </w:rPr>
        <w:t xml:space="preserve">Una revisión del código del sistema contra el levantamiento de procesos</w:t>
      </w:r>
      <w:r>
        <w:t xml:space="preserve"> </w:t>
      </w:r>
      <w:r>
        <w:t xml:space="preserve">(julio de 2026).</w:t>
      </w:r>
    </w:p>
    <w:p>
      <w:pPr>
        <w:numPr>
          <w:ilvl w:val="0"/>
          <w:numId w:val="1001"/>
        </w:numPr>
        <w:pStyle w:val="Compact"/>
      </w:pPr>
      <w:r>
        <w:rPr>
          <w:bCs/>
          <w:b/>
        </w:rPr>
        <w:t xml:space="preserve">Un criterio de recepción que antes no existía</w:t>
      </w:r>
      <w:r>
        <w:t xml:space="preserve">, derivado de ese trabajo, y que se describe en la sección 3.</w:t>
      </w:r>
    </w:p>
    <w:p>
      <w:pPr>
        <w:pStyle w:val="FirstParagraph"/>
      </w:pPr>
      <w:r>
        <w:t xml:space="preserve">Ese conjunto es el que permite hoy especificar con precisión qué debe hacer un sistema de gestión municipal chileno. Es conocimiento de dominio financiado por el Estado, documentado y bajo custodia de SUBDERE, y es independiente de la plataforma sobre la cual se implemente.</w:t>
      </w:r>
    </w:p>
    <w:bookmarkEnd w:id="23"/>
    <w:bookmarkStart w:id="24" w:name="estado-de-lo-desarrollado-por-módulo"/>
    <w:p>
      <w:pPr>
        <w:pStyle w:val="Heading2"/>
      </w:pPr>
      <w:r>
        <w:t xml:space="preserve">2.3 Estado de lo desarrollado, por módulo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Ámbito</w:t>
            </w:r>
          </w:p>
        </w:tc>
        <w:tc>
          <w:tcPr/>
          <w:p>
            <w:pPr>
              <w:pStyle w:val="Compact"/>
              <w:jc w:val="left"/>
            </w:pPr>
            <w:r>
              <w:t xml:space="preserve">Capacidad construida y verificada</w:t>
            </w:r>
          </w:p>
        </w:tc>
        <w:tc>
          <w:tcPr/>
          <w:p>
            <w:pPr>
              <w:pStyle w:val="Compact"/>
              <w:jc w:val="left"/>
            </w:pPr>
            <w:r>
              <w:t xml:space="preserve">Brecha respecto de un sistema integrado</w:t>
            </w:r>
          </w:p>
        </w:tc>
      </w:tr>
      <w:tr>
        <w:tc>
          <w:tcPr/>
          <w:p>
            <w:pPr>
              <w:pStyle w:val="Compact"/>
              <w:jc w:val="left"/>
            </w:pPr>
            <w:r>
              <w:rPr>
                <w:bCs/>
                <w:b/>
              </w:rPr>
              <w:t xml:space="preserve">Presupuestos</w:t>
            </w:r>
          </w:p>
        </w:tc>
        <w:tc>
          <w:tcPr/>
          <w:p>
            <w:pPr>
              <w:pStyle w:val="Compact"/>
              <w:jc w:val="left"/>
            </w:pPr>
            <w:r>
              <w:t xml:space="preserve">Fichas por área, equilibrio entre ingresos y gastos, cadena de compromiso del gasto (certificado de disponibilidad, preobligación, obligación, egreso)</w:t>
            </w:r>
          </w:p>
        </w:tc>
        <w:tc>
          <w:tcPr/>
          <w:p>
            <w:pPr>
              <w:pStyle w:val="Compact"/>
              <w:jc w:val="left"/>
            </w:pPr>
            <w:r>
              <w:t xml:space="preserve">Silencio del art. 82 de la Ley 18.695; límites del 42 % (art. 67, Ley 18.695) y del 20 % (Ley 18.883); series históricas; Salud y Educación como entidades presupuestarias distintas; acuerdo del Concejo a nivel de subtítulo e ítem</w:t>
            </w:r>
          </w:p>
        </w:tc>
      </w:tr>
      <w:tr>
        <w:tc>
          <w:tcPr/>
          <w:p>
            <w:pPr>
              <w:pStyle w:val="Compact"/>
              <w:jc w:val="left"/>
            </w:pPr>
            <w:r>
              <w:rPr>
                <w:bCs/>
                <w:b/>
              </w:rPr>
              <w:t xml:space="preserve">Tesorería</w:t>
            </w:r>
          </w:p>
        </w:tc>
        <w:tc>
          <w:tcPr/>
          <w:p>
            <w:pPr>
              <w:pStyle w:val="Compact"/>
              <w:jc w:val="left"/>
            </w:pPr>
            <w:r>
              <w:t xml:space="preserve">Caja diaria, arqueo, decreto de pago; canal de recepción desde la Plataforma de Servicios Municipales (SEM)</w:t>
            </w:r>
          </w:p>
        </w:tc>
        <w:tc>
          <w:tcPr/>
          <w:p>
            <w:pPr>
              <w:pStyle w:val="Compact"/>
              <w:jc w:val="left"/>
            </w:pPr>
            <w:r>
              <w:t xml:space="preserve">Estado Diario como documento; anulación acotada al cierre de caja; conciliación bancaria auxiliar diaria; certificado de saldos bancarios; garantías y pagos a terceros con efecto contable</w:t>
            </w:r>
          </w:p>
        </w:tc>
      </w:tr>
      <w:tr>
        <w:tc>
          <w:tcPr/>
          <w:p>
            <w:pPr>
              <w:pStyle w:val="Compact"/>
              <w:jc w:val="left"/>
            </w:pPr>
            <w:r>
              <w:rPr>
                <w:bCs/>
                <w:b/>
              </w:rPr>
              <w:t xml:space="preserve">Contabilidad</w:t>
            </w:r>
          </w:p>
        </w:tc>
        <w:tc>
          <w:tcPr/>
          <w:p>
            <w:pPr>
              <w:pStyle w:val="Compact"/>
              <w:jc w:val="left"/>
            </w:pPr>
            <w:r>
              <w:t xml:space="preserve">Diez procesos implementados</w:t>
            </w:r>
          </w:p>
        </w:tc>
        <w:tc>
          <w:tcPr/>
          <w:p>
            <w:pPr>
              <w:pStyle w:val="Compact"/>
              <w:jc w:val="left"/>
            </w:pPr>
            <w:r>
              <w:t xml:space="preserve">El devengo no nace de la recepción conforme; la suspensión del decreto de pago no interrumpe el pago (caso del factoring)</w:t>
            </w:r>
          </w:p>
        </w:tc>
      </w:tr>
      <w:tr>
        <w:tc>
          <w:tcPr/>
          <w:p>
            <w:pPr>
              <w:pStyle w:val="Compact"/>
              <w:jc w:val="left"/>
            </w:pPr>
            <w:r>
              <w:rPr>
                <w:bCs/>
                <w:b/>
              </w:rPr>
              <w:t xml:space="preserve">Adquisiciones</w:t>
            </w:r>
          </w:p>
        </w:tc>
        <w:tc>
          <w:tcPr/>
          <w:p>
            <w:pPr>
              <w:pStyle w:val="Compact"/>
              <w:jc w:val="left"/>
            </w:pPr>
            <w:r>
              <w:t xml:space="preserve">Flujo de compra completo en pantalla, con certificado de disponibilidad presupuestaria vinculado parcialmente</w:t>
            </w:r>
          </w:p>
        </w:tc>
        <w:tc>
          <w:tcPr/>
          <w:p>
            <w:pPr>
              <w:pStyle w:val="Compact"/>
              <w:jc w:val="left"/>
            </w:pPr>
            <w:r>
              <w:t xml:space="preserve">Las cuatro modalidades legales —Compra Ágil, Convenio Marco, Licitación y Trato Directo— modeladas en un formulario genérico único; la compra puede avanzar sin certificado de disponibilidad</w:t>
            </w:r>
          </w:p>
        </w:tc>
      </w:tr>
      <w:tr>
        <w:tc>
          <w:tcPr/>
          <w:p>
            <w:pPr>
              <w:pStyle w:val="Compact"/>
              <w:jc w:val="left"/>
            </w:pPr>
            <w:r>
              <w:rPr>
                <w:bCs/>
                <w:b/>
              </w:rPr>
              <w:t xml:space="preserve">Personal</w:t>
            </w:r>
          </w:p>
        </w:tc>
        <w:tc>
          <w:tcPr/>
          <w:p>
            <w:pPr>
              <w:pStyle w:val="Compact"/>
              <w:jc w:val="left"/>
            </w:pPr>
            <w:r>
              <w:t xml:space="preserve">Fichas de funcionarios y procesos de incorporación, cese y desvinculación modelados en pantalla</w:t>
            </w:r>
          </w:p>
        </w:tc>
        <w:tc>
          <w:tcPr/>
          <w:p>
            <w:pPr>
              <w:pStyle w:val="Compact"/>
              <w:jc w:val="left"/>
            </w:pPr>
            <w:r>
              <w:t xml:space="preserve">Registro en SIAPER ausente en cese y desvinculación; sin causal legal obligatoria al desvincular; sin validación de topes legales de horas extras ni de disponibilidad presupuestaria al planificarlas</w:t>
            </w:r>
          </w:p>
        </w:tc>
      </w:tr>
      <w:tr>
        <w:tc>
          <w:tcPr/>
          <w:p>
            <w:pPr>
              <w:pStyle w:val="Compact"/>
              <w:jc w:val="left"/>
            </w:pPr>
            <w:r>
              <w:rPr>
                <w:bCs/>
                <w:b/>
              </w:rPr>
              <w:t xml:space="preserve">Remuneraciones</w:t>
            </w:r>
          </w:p>
        </w:tc>
        <w:tc>
          <w:tcPr/>
          <w:p>
            <w:pPr>
              <w:pStyle w:val="Compact"/>
              <w:jc w:val="left"/>
            </w:pPr>
            <w:r>
              <w:t xml:space="preserve">Liquidación de remuneraciones, escala municipal, puente hacia contabilidad</w:t>
            </w:r>
          </w:p>
        </w:tc>
        <w:tc>
          <w:tcPr/>
          <w:p>
            <w:pPr>
              <w:pStyle w:val="Compact"/>
              <w:jc w:val="left"/>
            </w:pPr>
            <w:r>
              <w:t xml:space="preserve">Consulta de disponibilidad presupuestaria al contratar; control de cupo; validadores del 42 % y del 20 %; dos catálogos distintos para «calidad jurídica»; declaraciones juradas sin validación jurídica</w:t>
            </w:r>
          </w:p>
        </w:tc>
      </w:tr>
    </w:tbl>
    <w:bookmarkEnd w:id="24"/>
    <w:bookmarkStart w:id="25" w:name="X89da8f9ef7196f09f5ebcb1f1b9ce10158c8a22"/>
    <w:p>
      <w:pPr>
        <w:pStyle w:val="Heading2"/>
      </w:pPr>
      <w:r>
        <w:t xml:space="preserve">2.4 El control de calidad interno sobre los seis módulos</w:t>
      </w:r>
    </w:p>
    <w:p>
      <w:pPr>
        <w:pStyle w:val="FirstParagraph"/>
      </w:pPr>
      <w:r>
        <w:t xml:space="preserve">Entre el 4 de junio y el 1 de julio de 2026, SUBDERE ejecutó con equipo propio una revisión funcional sistemática de los seis módulos, en la que cada hallazgo se registró con su funcionalidad, detalle, categoría de error, severidad, carácter invalidante del proceso y —cuando corresponde— la cláusula de la Intención de Compra que lo respalda.</w:t>
      </w:r>
    </w:p>
    <w:p>
      <w:pPr>
        <w:pStyle w:val="BodyText"/>
      </w:pPr>
      <w:r>
        <w:t xml:space="preserve">El resultado son</w:t>
      </w:r>
      <w:r>
        <w:t xml:space="preserve"> </w:t>
      </w:r>
      <w:r>
        <w:rPr>
          <w:bCs/>
          <w:b/>
        </w:rPr>
        <w:t xml:space="preserve">188 hallazgos documentados</w:t>
      </w:r>
      <w:r>
        <w:t xml:space="preserv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Módulo</w:t>
            </w:r>
          </w:p>
        </w:tc>
        <w:tc>
          <w:tcPr/>
          <w:p>
            <w:pPr>
              <w:pStyle w:val="Compact"/>
              <w:jc w:val="right"/>
            </w:pPr>
            <w:r>
              <w:t xml:space="preserve">Hallazgos</w:t>
            </w:r>
          </w:p>
        </w:tc>
        <w:tc>
          <w:tcPr/>
          <w:p>
            <w:pPr>
              <w:pStyle w:val="Compact"/>
              <w:jc w:val="right"/>
            </w:pPr>
            <w:r>
              <w:t xml:space="preserve">Críticos</w:t>
            </w:r>
          </w:p>
        </w:tc>
        <w:tc>
          <w:tcPr/>
          <w:p>
            <w:pPr>
              <w:pStyle w:val="Compact"/>
              <w:jc w:val="right"/>
            </w:pPr>
            <w:r>
              <w:t xml:space="preserve">Invalidantes</w:t>
            </w:r>
          </w:p>
        </w:tc>
        <w:tc>
          <w:tcPr/>
          <w:p>
            <w:pPr>
              <w:pStyle w:val="Compact"/>
              <w:jc w:val="right"/>
            </w:pPr>
            <w:r>
              <w:t xml:space="preserve">Con respaldo en la Intención de Compra</w:t>
            </w:r>
          </w:p>
        </w:tc>
      </w:tr>
      <w:tr>
        <w:tc>
          <w:tcPr/>
          <w:p>
            <w:pPr>
              <w:pStyle w:val="Compact"/>
              <w:jc w:val="left"/>
            </w:pPr>
            <w:r>
              <w:t xml:space="preserve">Adquisiciones</w:t>
            </w:r>
          </w:p>
        </w:tc>
        <w:tc>
          <w:tcPr/>
          <w:p>
            <w:pPr>
              <w:pStyle w:val="Compact"/>
              <w:jc w:val="right"/>
            </w:pPr>
            <w:r>
              <w:t xml:space="preserve">67</w:t>
            </w:r>
          </w:p>
        </w:tc>
        <w:tc>
          <w:tcPr/>
          <w:p>
            <w:pPr>
              <w:pStyle w:val="Compact"/>
              <w:jc w:val="right"/>
            </w:pPr>
            <w:r>
              <w:t xml:space="preserve">30</w:t>
            </w:r>
          </w:p>
        </w:tc>
        <w:tc>
          <w:tcPr/>
          <w:p>
            <w:pPr>
              <w:pStyle w:val="Compact"/>
              <w:jc w:val="right"/>
            </w:pPr>
            <w:r>
              <w:t xml:space="preserve">18</w:t>
            </w:r>
          </w:p>
        </w:tc>
        <w:tc>
          <w:tcPr/>
          <w:p>
            <w:pPr>
              <w:pStyle w:val="Compact"/>
              <w:jc w:val="right"/>
            </w:pPr>
            <w:r>
              <w:t xml:space="preserve">17</w:t>
            </w:r>
          </w:p>
        </w:tc>
      </w:tr>
      <w:tr>
        <w:tc>
          <w:tcPr/>
          <w:p>
            <w:pPr>
              <w:pStyle w:val="Compact"/>
              <w:jc w:val="left"/>
            </w:pPr>
            <w:r>
              <w:t xml:space="preserve">Personal</w:t>
            </w:r>
          </w:p>
        </w:tc>
        <w:tc>
          <w:tcPr/>
          <w:p>
            <w:pPr>
              <w:pStyle w:val="Compact"/>
              <w:jc w:val="right"/>
            </w:pPr>
            <w:r>
              <w:t xml:space="preserve">40</w:t>
            </w:r>
          </w:p>
        </w:tc>
        <w:tc>
          <w:tcPr/>
          <w:p>
            <w:pPr>
              <w:pStyle w:val="Compact"/>
              <w:jc w:val="right"/>
            </w:pPr>
            <w:r>
              <w:t xml:space="preserve">26</w:t>
            </w:r>
          </w:p>
        </w:tc>
        <w:tc>
          <w:tcPr/>
          <w:p>
            <w:pPr>
              <w:pStyle w:val="Compact"/>
              <w:jc w:val="right"/>
            </w:pPr>
            <w:r>
              <w:t xml:space="preserve">19</w:t>
            </w:r>
          </w:p>
        </w:tc>
        <w:tc>
          <w:tcPr/>
          <w:p>
            <w:pPr>
              <w:pStyle w:val="Compact"/>
              <w:jc w:val="right"/>
            </w:pPr>
            <w:r>
              <w:t xml:space="preserve">25</w:t>
            </w:r>
          </w:p>
        </w:tc>
      </w:tr>
      <w:tr>
        <w:tc>
          <w:tcPr/>
          <w:p>
            <w:pPr>
              <w:pStyle w:val="Compact"/>
              <w:jc w:val="left"/>
            </w:pPr>
            <w:r>
              <w:t xml:space="preserve">Remuneraciones</w:t>
            </w:r>
          </w:p>
        </w:tc>
        <w:tc>
          <w:tcPr/>
          <w:p>
            <w:pPr>
              <w:pStyle w:val="Compact"/>
              <w:jc w:val="right"/>
            </w:pPr>
            <w:r>
              <w:t xml:space="preserve">32</w:t>
            </w:r>
          </w:p>
        </w:tc>
        <w:tc>
          <w:tcPr/>
          <w:p>
            <w:pPr>
              <w:pStyle w:val="Compact"/>
              <w:jc w:val="right"/>
            </w:pPr>
            <w:r>
              <w:t xml:space="preserve">18</w:t>
            </w:r>
          </w:p>
        </w:tc>
        <w:tc>
          <w:tcPr/>
          <w:p>
            <w:pPr>
              <w:pStyle w:val="Compact"/>
              <w:jc w:val="right"/>
            </w:pPr>
            <w:r>
              <w:t xml:space="preserve">12</w:t>
            </w:r>
          </w:p>
        </w:tc>
        <w:tc>
          <w:tcPr/>
          <w:p>
            <w:pPr>
              <w:pStyle w:val="Compact"/>
              <w:jc w:val="right"/>
            </w:pPr>
            <w:r>
              <w:t xml:space="preserve">23</w:t>
            </w:r>
          </w:p>
        </w:tc>
      </w:tr>
      <w:tr>
        <w:tc>
          <w:tcPr/>
          <w:p>
            <w:pPr>
              <w:pStyle w:val="Compact"/>
              <w:jc w:val="left"/>
            </w:pPr>
            <w:r>
              <w:t xml:space="preserve">Tesorería</w:t>
            </w:r>
          </w:p>
        </w:tc>
        <w:tc>
          <w:tcPr/>
          <w:p>
            <w:pPr>
              <w:pStyle w:val="Compact"/>
              <w:jc w:val="right"/>
            </w:pPr>
            <w:r>
              <w:t xml:space="preserve">28</w:t>
            </w:r>
          </w:p>
        </w:tc>
        <w:tc>
          <w:tcPr/>
          <w:p>
            <w:pPr>
              <w:pStyle w:val="Compact"/>
              <w:jc w:val="right"/>
            </w:pPr>
            <w:r>
              <w:t xml:space="preserve">9</w:t>
            </w:r>
          </w:p>
        </w:tc>
        <w:tc>
          <w:tcPr/>
          <w:p>
            <w:pPr>
              <w:pStyle w:val="Compact"/>
              <w:jc w:val="right"/>
            </w:pPr>
            <w:r>
              <w:t xml:space="preserve">1</w:t>
            </w:r>
          </w:p>
        </w:tc>
        <w:tc>
          <w:tcPr/>
          <w:p>
            <w:pPr>
              <w:pStyle w:val="Compact"/>
              <w:jc w:val="right"/>
            </w:pPr>
            <w:r>
              <w:t xml:space="preserve">—</w:t>
            </w:r>
          </w:p>
        </w:tc>
      </w:tr>
      <w:tr>
        <w:tc>
          <w:tcPr/>
          <w:p>
            <w:pPr>
              <w:pStyle w:val="Compact"/>
              <w:jc w:val="left"/>
            </w:pPr>
            <w:r>
              <w:t xml:space="preserve">Presupuestos</w:t>
            </w:r>
          </w:p>
        </w:tc>
        <w:tc>
          <w:tcPr/>
          <w:p>
            <w:pPr>
              <w:pStyle w:val="Compact"/>
              <w:jc w:val="right"/>
            </w:pPr>
            <w:r>
              <w:t xml:space="preserve">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Contabilidad</w:t>
            </w:r>
          </w:p>
        </w:tc>
        <w:tc>
          <w:tcPr/>
          <w:p>
            <w:pPr>
              <w:pStyle w:val="Compact"/>
              <w:jc w:val="right"/>
            </w:pPr>
            <w:r>
              <w:t xml:space="preserve">9</w:t>
            </w:r>
          </w:p>
        </w:tc>
        <w:tc>
          <w:tcPr/>
          <w:p>
            <w:pPr>
              <w:pStyle w:val="Compact"/>
              <w:jc w:val="right"/>
            </w:pPr>
            <w:r>
              <w:t xml:space="preserve">1</w:t>
            </w:r>
          </w:p>
        </w:tc>
        <w:tc>
          <w:tcPr/>
          <w:p>
            <w:pPr>
              <w:pStyle w:val="Compact"/>
              <w:jc w:val="right"/>
            </w:pPr>
            <w:r>
              <w:t xml:space="preserve">1</w:t>
            </w:r>
          </w:p>
        </w:tc>
        <w:tc>
          <w:tcPr/>
          <w:p>
            <w:pPr>
              <w:pStyle w:val="Compact"/>
              <w:jc w:val="right"/>
            </w:pPr>
            <w:r>
              <w:t xml:space="preserve">—</w:t>
            </w:r>
          </w:p>
        </w:tc>
      </w:tr>
      <w:tr>
        <w:tc>
          <w:tcPr/>
          <w:p>
            <w:pPr>
              <w:pStyle w:val="Compact"/>
              <w:jc w:val="left"/>
            </w:pPr>
            <w:r>
              <w:t xml:space="preserve">Transversales</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r>
      <w:tr>
        <w:tc>
          <w:tcPr/>
          <w:p>
            <w:pPr>
              <w:pStyle w:val="Compact"/>
              <w:jc w:val="left"/>
            </w:pPr>
            <w:r>
              <w:rPr>
                <w:bCs/>
                <w:b/>
              </w:rPr>
              <w:t xml:space="preserve">Total</w:t>
            </w:r>
          </w:p>
        </w:tc>
        <w:tc>
          <w:tcPr/>
          <w:p>
            <w:pPr>
              <w:pStyle w:val="Compact"/>
              <w:jc w:val="right"/>
            </w:pPr>
            <w:r>
              <w:rPr>
                <w:bCs/>
                <w:b/>
              </w:rPr>
              <w:t xml:space="preserve">188</w:t>
            </w:r>
          </w:p>
        </w:tc>
        <w:tc>
          <w:tcPr/>
          <w:p>
            <w:pPr>
              <w:pStyle w:val="Compact"/>
              <w:jc w:val="right"/>
            </w:pPr>
            <w:r>
              <w:rPr>
                <w:bCs/>
                <w:b/>
              </w:rPr>
              <w:t xml:space="preserve">84</w:t>
            </w:r>
          </w:p>
        </w:tc>
        <w:tc>
          <w:tcPr/>
          <w:p>
            <w:pPr>
              <w:pStyle w:val="Compact"/>
              <w:jc w:val="right"/>
            </w:pPr>
            <w:r>
              <w:rPr>
                <w:bCs/>
                <w:b/>
              </w:rPr>
              <w:t xml:space="preserve">53</w:t>
            </w:r>
          </w:p>
        </w:tc>
        <w:tc>
          <w:tcPr/>
          <w:p>
            <w:pPr>
              <w:pStyle w:val="Compact"/>
              <w:jc w:val="right"/>
            </w:pPr>
            <w:r>
              <w:rPr>
                <w:bCs/>
                <w:b/>
              </w:rPr>
              <w:t xml:space="preserve">67</w:t>
            </w:r>
          </w:p>
        </w:tc>
      </w:tr>
    </w:tbl>
    <w:p>
      <w:pPr>
        <w:pStyle w:val="BodyText"/>
      </w:pPr>
      <w:r>
        <w:t xml:space="preserve">Tres lecturas de esa tabla.</w:t>
      </w:r>
    </w:p>
    <w:p>
      <w:pPr>
        <w:pStyle w:val="BodyText"/>
      </w:pPr>
      <w:r>
        <w:rPr>
          <w:bCs/>
          <w:b/>
        </w:rPr>
        <w:t xml:space="preserve">La severidad.</w:t>
      </w:r>
      <w:r>
        <w:t xml:space="preserve"> </w:t>
      </w:r>
      <w:r>
        <w:t xml:space="preserve">84 hallazgos están clasificados como críticos y</w:t>
      </w:r>
      <w:r>
        <w:t xml:space="preserve"> </w:t>
      </w:r>
      <w:r>
        <w:rPr>
          <w:bCs/>
          <w:b/>
        </w:rPr>
        <w:t xml:space="preserve">53 son invalidantes</w:t>
      </w:r>
      <w:r>
        <w:t xml:space="preserve">, es decir, impiden completar el proceso o lo completan produciendo un resultado que la norma no admite.</w:t>
      </w:r>
    </w:p>
    <w:p>
      <w:pPr>
        <w:pStyle w:val="BodyText"/>
      </w:pPr>
      <w:r>
        <w:rPr>
          <w:bCs/>
          <w:b/>
        </w:rPr>
        <w:t xml:space="preserve">La naturaleza.</w:t>
      </w:r>
      <w:r>
        <w:t xml:space="preserve"> </w:t>
      </w:r>
      <w:r>
        <w:t xml:space="preserve">La categoría más frecuente es «Flujo» (64 hallazgos, más 15 adicionales en combinaciones con negocio, integración o legalidad), por sobre retroalimentación al usuario (30), elementos faltantes (17) y visibilidad (15). No se trata de una lista de defectos de interfaz: la mayoría describe pasos que el sistema permite ejecutar sin producir el efecto que corresponde.</w:t>
      </w:r>
    </w:p>
    <w:p>
      <w:pPr>
        <w:pStyle w:val="BodyText"/>
      </w:pPr>
      <w:r>
        <w:rPr>
          <w:bCs/>
          <w:b/>
        </w:rPr>
        <w:t xml:space="preserve">El respaldo contractual.</w:t>
      </w:r>
      <w:r>
        <w:t xml:space="preserve"> </w:t>
      </w:r>
      <w:r>
        <w:t xml:space="preserve">67 hallazgos citan la cláusula del Anexo N° 12 o del Anexo N° 13 de la Intención de Compra que el sistema no satisface. Algunos ejemplos, con la exigencia contractual y lo observado: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Exigencia de la Intención de Compra</w:t>
            </w:r>
          </w:p>
        </w:tc>
        <w:tc>
          <w:tcPr/>
          <w:p>
            <w:pPr>
              <w:pStyle w:val="Compact"/>
              <w:jc w:val="left"/>
            </w:pPr>
            <w:r>
              <w:t xml:space="preserve">Lo observado</w:t>
            </w:r>
          </w:p>
        </w:tc>
      </w:tr>
      <w:tr>
        <w:tc>
          <w:tcPr/>
          <w:p>
            <w:pPr>
              <w:pStyle w:val="Compact"/>
              <w:jc w:val="left"/>
            </w:pPr>
            <w:r>
              <w:t xml:space="preserve">«Cualquier compra debe contar con disponibilidad presupuestaria y se debe generar un certificado de disponibilidad» (Anexo N° 12, tarea 23.2.3)</w:t>
            </w:r>
          </w:p>
        </w:tc>
        <w:tc>
          <w:tcPr/>
          <w:p>
            <w:pPr>
              <w:pStyle w:val="Compact"/>
              <w:jc w:val="left"/>
            </w:pPr>
            <w:r>
              <w:t xml:space="preserve">La validación presupuestaria no tiene origen trazable; la compra avanza sin ella</w:t>
            </w:r>
          </w:p>
        </w:tc>
      </w:tr>
      <w:tr>
        <w:tc>
          <w:tcPr/>
          <w:p>
            <w:pPr>
              <w:pStyle w:val="Compact"/>
              <w:jc w:val="left"/>
            </w:pPr>
            <w:r>
              <w:t xml:space="preserve">«No permitir obligaciones sin saldo de presupuesto» (Anexo N° 13, punto 1.1, ítem 8)</w:t>
            </w:r>
          </w:p>
        </w:tc>
        <w:tc>
          <w:tcPr/>
          <w:p>
            <w:pPr>
              <w:pStyle w:val="Compact"/>
              <w:jc w:val="left"/>
            </w:pPr>
            <w:r>
              <w:t xml:space="preserve">La obligación presupuestaria se genera excediendo el saldo disponible, y la advertencia aparece después de aprobada la resolución</w:t>
            </w:r>
          </w:p>
        </w:tc>
      </w:tr>
      <w:tr>
        <w:tc>
          <w:tcPr/>
          <w:p>
            <w:pPr>
              <w:pStyle w:val="Compact"/>
              <w:jc w:val="left"/>
            </w:pPr>
            <w:r>
              <w:t xml:space="preserve">«Las solicitudes de pedido deben ser aprobadas electrónicamente por las distintas unidades que lo aprueban» (Anexo N° 13, punto 1.4, letra a)</w:t>
            </w:r>
          </w:p>
        </w:tc>
        <w:tc>
          <w:tcPr/>
          <w:p>
            <w:pPr>
              <w:pStyle w:val="Compact"/>
              <w:jc w:val="left"/>
            </w:pPr>
            <w:r>
              <w:t xml:space="preserve">Es posible aprobar sin verificación alguna de identidad ni firma</w:t>
            </w:r>
          </w:p>
        </w:tc>
      </w:tr>
      <w:tr>
        <w:tc>
          <w:tcPr/>
          <w:p>
            <w:pPr>
              <w:pStyle w:val="Compact"/>
              <w:jc w:val="left"/>
            </w:pPr>
            <w:r>
              <w:t xml:space="preserve">«El sistema debe contemplar la circulación digital de documentos […] y las visaciones electrónicas» (Anexo N° 13, punto 1.4, letra c)</w:t>
            </w:r>
          </w:p>
        </w:tc>
        <w:tc>
          <w:tcPr/>
          <w:p>
            <w:pPr>
              <w:pStyle w:val="Compact"/>
              <w:jc w:val="left"/>
            </w:pPr>
            <w:r>
              <w:t xml:space="preserve">La resolución de compra se aprueba sin firma y sin documento asociado</w:t>
            </w:r>
          </w:p>
        </w:tc>
      </w:tr>
      <w:tr>
        <w:tc>
          <w:tcPr/>
          <w:p>
            <w:pPr>
              <w:pStyle w:val="Compact"/>
              <w:jc w:val="left"/>
            </w:pPr>
            <w:r>
              <w:t xml:space="preserve">Cuatro modalidades de compra con validaciones y flujos distintos (Anexo N° 12, tareas 21 a 24)</w:t>
            </w:r>
          </w:p>
        </w:tc>
        <w:tc>
          <w:tcPr/>
          <w:p>
            <w:pPr>
              <w:pStyle w:val="Compact"/>
              <w:jc w:val="left"/>
            </w:pPr>
            <w:r>
              <w:t xml:space="preserve">Una sola pantalla genérica para las cuatro modalidades legales</w:t>
            </w:r>
          </w:p>
        </w:tc>
      </w:tr>
    </w:tbl>
    <w:p>
      <w:pPr>
        <w:pStyle w:val="BodyText"/>
      </w:pPr>
      <w:r>
        <w:t xml:space="preserve">A ellos se agregan hallazgos de legalidad que el levantamiento ya describía: el egreso devengado puede generarse con la sola resolución de compra, cuando la normativa contable exige la recepción del bien o servicio; el cese y la desvinculación omiten el registro en SIAPER; la planificación de horas extras no valida los topes del Estatuto Administrativo ni la disponibilidad presupuestaria; y las declaraciones juradas de probidad e inhabilidades se resuelven con un interruptor en pantalla.</w:t>
      </w:r>
    </w:p>
    <w:p>
      <w:pPr>
        <w:pStyle w:val="BodyText"/>
      </w:pPr>
      <w:r>
        <w:rPr>
          <w:bCs/>
          <w:b/>
        </w:rPr>
        <w:t xml:space="preserve">Esfuerzo de remediación.</w:t>
      </w:r>
      <w:r>
        <w:t xml:space="preserve"> </w:t>
      </w:r>
      <w:r>
        <w:t xml:space="preserve">El módulo de Adquisiciones, único con estimación completa, requiere</w:t>
      </w:r>
      <w:r>
        <w:t xml:space="preserve"> </w:t>
      </w:r>
      <w:r>
        <w:rPr>
          <w:bCs/>
          <w:b/>
        </w:rPr>
        <w:t xml:space="preserve">1.968 horas-hombre</w:t>
      </w:r>
      <w:r>
        <w:t xml:space="preserve"> </w:t>
      </w:r>
      <w:r>
        <w:t xml:space="preserve">para resolver sus 67 hallazgos. De ese total, el propio equipo clasificó</w:t>
      </w:r>
      <w:r>
        <w:t xml:space="preserve"> </w:t>
      </w:r>
      <w:r>
        <w:rPr>
          <w:bCs/>
          <w:b/>
        </w:rPr>
        <w:t xml:space="preserve">922 horas (8 hallazgos) como trabajo que no debe realizarse sobre la base actual sino especificarse para la nueva contratación</w:t>
      </w:r>
      <w:r>
        <w:t xml:space="preserve">, y otras 424 horas como pendientes de evaluación. Esa clasificación —hecha antes y con independencia de este informe— es la evidencia más directa disponible de que la corrección sobre la plataforma actual no es el camino económico.</w:t>
      </w:r>
    </w:p>
    <w:bookmarkEnd w:id="25"/>
    <w:bookmarkStart w:id="26" w:name="Xe65e7698c51b936a9a574b53ceb196b4b1b172f"/>
    <w:p>
      <w:pPr>
        <w:pStyle w:val="Heading2"/>
      </w:pPr>
      <w:r>
        <w:t xml:space="preserve">2.5 Las cuatro brechas estructurales, y por qué no se resuelven sobre la base actual</w:t>
      </w:r>
    </w:p>
    <w:p>
      <w:pPr>
        <w:pStyle w:val="FirstParagraph"/>
      </w:pPr>
      <w:r>
        <w:rPr>
          <w:bCs/>
          <w:b/>
        </w:rPr>
        <w:t xml:space="preserve">a) Integración entre módulos.</w:t>
      </w:r>
      <w:r>
        <w:t xml:space="preserve"> </w:t>
      </w:r>
      <w:r>
        <w:t xml:space="preserve">Un hecho registrado en un módulo no gatilla el registro en el siguiente. La recepción conforme no genera el devengo ni habilita el pago, de modo que el ciclo compromiso–devengo–pago queda abierto, y el funcionario vuelve a digitar la misma información en cada etapa.</w:t>
      </w:r>
    </w:p>
    <w:p>
      <w:pPr>
        <w:pStyle w:val="BodyText"/>
      </w:pPr>
      <w:r>
        <w:rPr>
          <w:bCs/>
          <w:b/>
        </w:rPr>
        <w:t xml:space="preserve">b) Actos administrativos no modelados.</w:t>
      </w:r>
      <w:r>
        <w:t xml:space="preserve"> </w:t>
      </w:r>
      <w:r>
        <w:t xml:space="preserve">El Decreto Alcaldicio formaliza 20 de los 42 procesos levantados y no existe como paso transversal del sistema: se tramita fuera de él.</w:t>
      </w:r>
    </w:p>
    <w:p>
      <w:pPr>
        <w:pStyle w:val="BodyText"/>
      </w:pPr>
      <w:r>
        <w:rPr>
          <w:bCs/>
          <w:b/>
        </w:rPr>
        <w:t xml:space="preserve">c) Integraciones con el Estado.</w:t>
      </w:r>
      <w:r>
        <w:t xml:space="preserve"> </w:t>
      </w:r>
      <w:r>
        <w:t xml:space="preserve">Los requerimientos técnicos del ciclo anterior comprometían cinco integraciones: Clave Única, DocDigital, FirmaGob, la Plataforma de Servicios Municipales (SEM) y ChileCompra. De esas, se implementaron de forma limitada</w:t>
      </w:r>
      <w:r>
        <w:t xml:space="preserve"> </w:t>
      </w:r>
      <w:r>
        <w:rPr>
          <w:bCs/>
          <w:b/>
        </w:rPr>
        <w:t xml:space="preserve">Clave Única y SEM</w:t>
      </w:r>
      <w:r>
        <w:t xml:space="preserve">; las tres restantes quedaron pendientes. Las demás conexiones que un sistema de gestión municipal requiere —Contraloría General de la República, SIGFE/DIPRES, Servicio de Impuestos Internos, SINIM, Previred, SIAPER— no formaban parte del alcance contratado y constituyen, por lo tanto,</w:t>
      </w:r>
      <w:r>
        <w:t xml:space="preserve"> </w:t>
      </w:r>
      <w:r>
        <w:rPr>
          <w:bCs/>
          <w:b/>
        </w:rPr>
        <w:t xml:space="preserve">alcance nuevo de la segunda etapa</w:t>
      </w:r>
      <w:r>
        <w:t xml:space="preserve">, no deuda del ciclo anterior.</w:t>
      </w:r>
    </w:p>
    <w:p>
      <w:pPr>
        <w:pStyle w:val="BodyText"/>
      </w:pPr>
      <w:r>
        <w:rPr>
          <w:bCs/>
          <w:b/>
        </w:rPr>
        <w:t xml:space="preserve">d) Sostenibilidad de la personalización.</w:t>
      </w:r>
      <w:r>
        <w:t xml:space="preserve"> </w:t>
      </w:r>
      <w:r>
        <w:t xml:space="preserve">La adaptación de un ERP concebido para la empresa privada a la gestión municipal chilena exigió un nivel alto de personalización. Los módulos personalizados deben migrarse manualmente con cada versión de la plataforma base: sin ese esfuerzo el sistema queda congelado y pierde soporte y parches de seguridad; con él, cada actualización se convierte en un proyecto. Adicionalmente, cada municipio incorporado tiende a requerir configuración y llaves de acceso propias hacia sistemas externos, de modo que el costo de mantención crece linealmente con la cobertura.</w:t>
      </w:r>
    </w:p>
    <w:bookmarkEnd w:id="26"/>
    <w:bookmarkStart w:id="27" w:name="evidencia-técnica-disponible"/>
    <w:p>
      <w:pPr>
        <w:pStyle w:val="Heading2"/>
      </w:pPr>
      <w:r>
        <w:t xml:space="preserve">2.6 Evidencia técnica disponible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Evidencia</w:t>
            </w:r>
          </w:p>
        </w:tc>
        <w:tc>
          <w:tcPr/>
          <w:p>
            <w:pPr>
              <w:pStyle w:val="Compact"/>
              <w:jc w:val="left"/>
            </w:pPr>
            <w:r>
              <w:t xml:space="preserve">Fecha</w:t>
            </w:r>
          </w:p>
        </w:tc>
        <w:tc>
          <w:tcPr/>
          <w:p>
            <w:pPr>
              <w:pStyle w:val="Compact"/>
              <w:jc w:val="left"/>
            </w:pPr>
            <w:r>
              <w:t xml:space="preserve">Naturaleza</w:t>
            </w:r>
          </w:p>
        </w:tc>
      </w:tr>
      <w:tr>
        <w:tc>
          <w:tcPr/>
          <w:p>
            <w:pPr>
              <w:pStyle w:val="Compact"/>
              <w:jc w:val="left"/>
            </w:pPr>
            <w:r>
              <w:t xml:space="preserve">Anexo N° 12: 42 procesos municipales levantados en terreno</w:t>
            </w:r>
          </w:p>
        </w:tc>
        <w:tc>
          <w:tcPr/>
          <w:p>
            <w:pPr>
              <w:pStyle w:val="Compact"/>
              <w:jc w:val="left"/>
            </w:pPr>
            <w:r>
              <w:t xml:space="preserve">Mar. 2024</w:t>
            </w:r>
          </w:p>
        </w:tc>
        <w:tc>
          <w:tcPr/>
          <w:p>
            <w:pPr>
              <w:pStyle w:val="Compact"/>
              <w:jc w:val="left"/>
            </w:pPr>
            <w:r>
              <w:t xml:space="preserve">Levantamiento validado, base del contrato</w:t>
            </w:r>
          </w:p>
        </w:tc>
      </w:tr>
      <w:tr>
        <w:tc>
          <w:tcPr/>
          <w:p>
            <w:pPr>
              <w:pStyle w:val="Compact"/>
              <w:jc w:val="left"/>
            </w:pPr>
            <w:r>
              <w:t xml:space="preserve">Informe 4 — Levantamiento de procesos y diseño de servicio SGM</w:t>
            </w:r>
          </w:p>
        </w:tc>
        <w:tc>
          <w:tcPr/>
          <w:p>
            <w:pPr>
              <w:pStyle w:val="Compact"/>
              <w:jc w:val="left"/>
            </w:pPr>
            <w:r>
              <w:t xml:space="preserve">Jul. 2024</w:t>
            </w:r>
          </w:p>
        </w:tc>
        <w:tc>
          <w:tcPr/>
          <w:p>
            <w:pPr>
              <w:pStyle w:val="Compact"/>
              <w:jc w:val="left"/>
            </w:pPr>
            <w:r>
              <w:t xml:space="preserve">Informe final del estudio</w:t>
            </w:r>
          </w:p>
        </w:tc>
      </w:tr>
      <w:tr>
        <w:tc>
          <w:tcPr/>
          <w:p>
            <w:pPr>
              <w:pStyle w:val="Compact"/>
              <w:jc w:val="left"/>
            </w:pPr>
            <w:r>
              <w:t xml:space="preserve">Fichas y bitácoras por municipio de las sesiones de marcha blanca</w:t>
            </w:r>
          </w:p>
        </w:tc>
        <w:tc>
          <w:tcPr/>
          <w:p>
            <w:pPr>
              <w:pStyle w:val="Compact"/>
              <w:jc w:val="left"/>
            </w:pPr>
            <w:r>
              <w:t xml:space="preserve">2025</w:t>
            </w:r>
          </w:p>
        </w:tc>
        <w:tc>
          <w:tcPr/>
          <w:p>
            <w:pPr>
              <w:pStyle w:val="Compact"/>
              <w:jc w:val="left"/>
            </w:pPr>
            <w:r>
              <w:t xml:space="preserve">Registro de operación real</w:t>
            </w:r>
          </w:p>
        </w:tc>
      </w:tr>
      <w:tr>
        <w:tc>
          <w:tcPr/>
          <w:p>
            <w:pPr>
              <w:pStyle w:val="Compact"/>
              <w:jc w:val="left"/>
            </w:pPr>
            <w:r>
              <w:t xml:space="preserve">Matriz de interdependencias entre módulos y diagramas de procesos (egreso devengado, tesorería, presupuesto, compra ágil)</w:t>
            </w:r>
          </w:p>
        </w:tc>
        <w:tc>
          <w:tcPr/>
          <w:p>
            <w:pPr>
              <w:pStyle w:val="Compact"/>
              <w:jc w:val="left"/>
            </w:pPr>
            <w:r>
              <w:t xml:space="preserve">2026</w:t>
            </w:r>
          </w:p>
        </w:tc>
        <w:tc>
          <w:tcPr/>
          <w:p>
            <w:pPr>
              <w:pStyle w:val="Compact"/>
              <w:jc w:val="left"/>
            </w:pPr>
            <w:r>
              <w:t xml:space="preserve">Identifica los puntos de integración faltantes</w:t>
            </w:r>
          </w:p>
        </w:tc>
      </w:tr>
      <w:tr>
        <w:tc>
          <w:tcPr/>
          <w:p>
            <w:pPr>
              <w:pStyle w:val="Compact"/>
              <w:jc w:val="left"/>
            </w:pPr>
            <w:r>
              <w:rPr>
                <w:bCs/>
                <w:b/>
              </w:rPr>
              <w:t xml:space="preserve">Control de calidad interno sobre los seis módulos: 188 hallazgos</w:t>
            </w:r>
          </w:p>
        </w:tc>
        <w:tc>
          <w:tcPr/>
          <w:p>
            <w:pPr>
              <w:pStyle w:val="Compact"/>
              <w:jc w:val="left"/>
            </w:pPr>
            <w:r>
              <w:t xml:space="preserve">Jun.–jul. 2026</w:t>
            </w:r>
          </w:p>
        </w:tc>
        <w:tc>
          <w:tcPr/>
          <w:p>
            <w:pPr>
              <w:pStyle w:val="Compact"/>
              <w:jc w:val="left"/>
            </w:pPr>
            <w:r>
              <w:t xml:space="preserve">Revisión funcional con equipo propio, con severidad, categoría, carácter invalidante y respaldo contractual por hallazgo</w:t>
            </w:r>
          </w:p>
        </w:tc>
      </w:tr>
      <w:tr>
        <w:tc>
          <w:tcPr/>
          <w:p>
            <w:pPr>
              <w:pStyle w:val="Compact"/>
              <w:jc w:val="left"/>
            </w:pPr>
            <w:r>
              <w:rPr>
                <w:bCs/>
                <w:b/>
              </w:rPr>
              <w:t xml:space="preserve">Revisión del código del sistema contra el levantamiento de procesos</w:t>
            </w:r>
          </w:p>
        </w:tc>
        <w:tc>
          <w:tcPr/>
          <w:p>
            <w:pPr>
              <w:pStyle w:val="Compact"/>
              <w:jc w:val="left"/>
            </w:pPr>
            <w:r>
              <w:t xml:space="preserve">Jul. 2026</w:t>
            </w:r>
          </w:p>
        </w:tc>
        <w:tc>
          <w:tcPr/>
          <w:p>
            <w:pPr>
              <w:pStyle w:val="Compact"/>
              <w:jc w:val="left"/>
            </w:pPr>
            <w:r>
              <w:t xml:space="preserve">Verificación directa sobre el código entregado</w:t>
            </w:r>
          </w:p>
        </w:tc>
      </w:tr>
      <w:tr>
        <w:tc>
          <w:tcPr/>
          <w:p>
            <w:pPr>
              <w:pStyle w:val="Compact"/>
              <w:jc w:val="left"/>
            </w:pPr>
            <w:r>
              <w:t xml:space="preserve">Auditoría de interfaces de carga y descarga de datos: 43 interfaces</w:t>
            </w:r>
          </w:p>
        </w:tc>
        <w:tc>
          <w:tcPr/>
          <w:p>
            <w:pPr>
              <w:pStyle w:val="Compact"/>
              <w:jc w:val="left"/>
            </w:pPr>
            <w:r>
              <w:t xml:space="preserve">Jun. 2026</w:t>
            </w:r>
          </w:p>
        </w:tc>
        <w:tc>
          <w:tcPr/>
          <w:p>
            <w:pPr>
              <w:pStyle w:val="Compact"/>
              <w:jc w:val="left"/>
            </w:pPr>
            <w:r>
              <w:t xml:space="preserve">37 sin plantilla; 39 no admiten reimportar el archivo que el propio sistema exporta</w:t>
            </w:r>
          </w:p>
        </w:tc>
      </w:tr>
    </w:tbl>
    <w:p>
      <w:pPr>
        <w:pStyle w:val="BodyText"/>
      </w:pPr>
      <w:r>
        <w:t xml:space="preserve">Dos piezas son determinantes, y ambas provienen de trabajo propio de SUBDERE.</w:t>
      </w:r>
    </w:p>
    <w:p>
      <w:pPr>
        <w:pStyle w:val="BodyText"/>
      </w:pPr>
      <w:r>
        <w:rPr>
          <w:bCs/>
          <w:b/>
        </w:rPr>
        <w:t xml:space="preserve">El control de calidad no se hizo sobre documentación, sino sobre el sistema en funcionamiento</w:t>
      </w:r>
      <w:r>
        <w:t xml:space="preserve">, módulo por módulo, con registro de evidencia por hallazgo.</w:t>
      </w:r>
      <w:r>
        <w:t xml:space="preserve"> </w:t>
      </w:r>
      <w:r>
        <w:rPr>
          <w:bCs/>
          <w:b/>
        </w:rPr>
        <w:t xml:space="preserve">Y la revisión de código no se hizo sobre las pantallas, sino sobre el código entregado</w:t>
      </w:r>
      <w:r>
        <w:t xml:space="preserve">, contrastado contra los procesos levantados. De esa revisión proviene el hallazgo que ordena todo el diagnóstico:</w:t>
      </w:r>
      <w:r>
        <w:t xml:space="preserve"> </w:t>
      </w:r>
      <w:r>
        <w:rPr>
          <w:bCs/>
          <w:b/>
        </w:rPr>
        <w:t xml:space="preserve">el sistema implementa los flujos aprobados sin producir los efectos que la norma exige</w:t>
      </w:r>
      <w:r>
        <w:t xml:space="preserve">. Aprobar un paso no cambia el estado real del negocio. Hay trámite; no hay efecto de sistema.</w:t>
      </w:r>
    </w:p>
    <w:p>
      <w:pPr>
        <w:pStyle w:val="BodyText"/>
      </w:pPr>
      <w:r>
        <w:t xml:space="preserve">Esa es también la razón por la cual SUBDERE puede hoy especificar la segunda etapa con precisión: no se dispone de una impresión general sobre el sistema, sino de 188 hallazgos trazables, con su cláusula contractual cuando la tienen, y con estimación de esfuerzo en el módulo de mayor cobertura.</w:t>
      </w:r>
    </w:p>
    <w:bookmarkEnd w:id="27"/>
    <w:bookmarkStart w:id="28" w:name="X803e72d98a8dff6be48dcaf3e9d2a66dbfc984b"/>
    <w:p>
      <w:pPr>
        <w:pStyle w:val="Heading2"/>
      </w:pPr>
      <w:r>
        <w:t xml:space="preserve">2.7 Una precisión sobre el cierre del ciclo anterior</w:t>
      </w:r>
    </w:p>
    <w:p>
      <w:pPr>
        <w:pStyle w:val="FirstParagraph"/>
      </w:pPr>
      <w:r>
        <w:t xml:space="preserve">El mecanismo de recepción que el contrato definió es documental: cada cuota se pagaba contra certificación de aprobación técnica del informe respectivo y recepción conforme emitida en el sistema de información, y los entregables eran informes, código fuente, documentación técnica, manuales y reportes de piloto.</w:t>
      </w:r>
    </w:p>
    <w:p>
      <w:pPr>
        <w:pStyle w:val="BodyText"/>
      </w:pPr>
      <w:r>
        <w:t xml:space="preserve">La secuencia de fechas es la siguiente: el acuerdo se suscribió el 20 de diciembre de 2024, con nueve meses de ejecución y dos de cierre; la garantía de fiel cumplimiento venció el 30 de marzo de 2026; el control de calidad sobre los seis módulos se ejecutó entre el 4 de junio y el 1 de julio de 2026, y la revisión de código en julio de 2026.</w:t>
      </w:r>
    </w:p>
    <w:p>
      <w:pPr>
        <w:pStyle w:val="BodyText"/>
      </w:pPr>
      <w:r>
        <w:t xml:space="preserve">De ahí se sigue una consecuencia de diseño contractual, y es la lección más valiosa del ciclo:</w:t>
      </w:r>
      <w:r>
        <w:t xml:space="preserve"> </w:t>
      </w:r>
      <w:r>
        <w:rPr>
          <w:bCs/>
          <w:b/>
        </w:rPr>
        <w:t xml:space="preserve">un criterio de recepción basado en la aprobación de informes no permite detectar que un sistema no produce los efectos que declara.</w:t>
      </w:r>
      <w:r>
        <w:t xml:space="preserve"> </w:t>
      </w:r>
      <w:r>
        <w:t xml:space="preserve">Un informe de pruebas puede ser conforme mientras el sistema permite aprobar una compra sin disponibilidad presupuestaria, porque la conformidad se verifica sobre el documento y no sobre el efecto. La segunda etapa corrige eso en la raíz: la recepción se verifica por efectos comprobables por interfaz, con el arnés de pruebas disponible desde el primer entregable y no al final.</w:t>
      </w:r>
    </w:p>
    <w:p>
      <w:pPr>
        <w:pStyle w:val="BlockText"/>
      </w:pPr>
      <w:r>
        <w:rPr>
          <w:iCs/>
          <w:i/>
        </w:rPr>
        <w:t xml:space="preserve">[Por completar antes del envío: detalle de los seis certificados de recepción conforme, con fechas y observaciones formuladas; registro de eventuales notificaciones de falla o aplicación de multas; y estado del análisis jurídico respecto de los hallazgos con respaldo contractual descritos en 2.4.]</w:t>
      </w:r>
    </w:p>
    <w:p>
      <w:r>
        <w:pict>
          <v:rect style="width:0;height:1.5pt" o:hralign="center" o:hrstd="t" o:hr="t"/>
        </w:pict>
      </w:r>
    </w:p>
    <w:bookmarkEnd w:id="28"/>
    <w:bookmarkEnd w:id="29"/>
    <w:bookmarkStart w:id="35" w:name="X15031c4e7383f5c11faeded6e8fd8157f54561a"/>
    <w:p>
      <w:pPr>
        <w:pStyle w:val="Heading1"/>
      </w:pPr>
      <w:r>
        <w:t xml:space="preserve">3. Alternativas evaluadas y criterios de comparación</w:t>
      </w:r>
    </w:p>
    <w:p>
      <w:pPr>
        <w:pStyle w:val="FirstParagraph"/>
      </w:pPr>
      <w:r>
        <w:t xml:space="preserve">La decisión arquitectónica de julio de 2026, revisada en agosto de 2026, evaluó tres caminos.</w:t>
      </w:r>
    </w:p>
    <w:bookmarkStart w:id="30" w:name="X21cef8a584af42155cc6d4343aa65895ebc3e48"/>
    <w:p>
      <w:pPr>
        <w:pStyle w:val="Heading2"/>
      </w:pPr>
      <w:r>
        <w:t xml:space="preserve">Alternativa A — Continuar corrigiendo sobre la base actual</w:t>
      </w:r>
    </w:p>
    <w:p>
      <w:pPr>
        <w:pStyle w:val="FirstParagraph"/>
      </w:pPr>
      <w:r>
        <w:t xml:space="preserve">Corregir los hallazgos de la auditoría y del contraste con el código, manteniendo la plataforma y preparando una migración en paralelo.</w:t>
      </w:r>
    </w:p>
    <w:p>
      <w:pPr>
        <w:pStyle w:val="BodyText"/>
      </w:pPr>
      <w:r>
        <w:rPr>
          <w:bCs/>
          <w:b/>
        </w:rPr>
        <w:t xml:space="preserve">Descartada.</w:t>
      </w:r>
      <w:r>
        <w:t xml:space="preserve"> </w:t>
      </w:r>
      <w:r>
        <w:t xml:space="preserve">Los hallazgos centrales son de diseño, no de volumen: el formulario genérico para las cuatro modalidades de compra, el devengo desacoplado del hecho económico o la suspensión de pago sin efecto no se resuelven corrigiendo errores ni ampliando el equipo. Y no abordan el límite estructural que se describe más abajo.</w:t>
      </w:r>
    </w:p>
    <w:bookmarkEnd w:id="30"/>
    <w:bookmarkStart w:id="31" w:name="Xe0b7a1a014b2b20deb533f89e4cac3bc87b340d"/>
    <w:p>
      <w:pPr>
        <w:pStyle w:val="Heading2"/>
      </w:pPr>
      <w:r>
        <w:t xml:space="preserve">Alternativa B — Mantener la plataforma y construir encima una capa traductora propia</w:t>
      </w:r>
    </w:p>
    <w:p>
      <w:pPr>
        <w:pStyle w:val="FirstParagraph"/>
      </w:pPr>
      <w:r>
        <w:t xml:space="preserve">Conservar la base actual y desarrollar sobre ella una interfaz pública documentada —una API REST— que permita a terceros consumir el sistema en igualdad de condiciones.</w:t>
      </w:r>
    </w:p>
    <w:p>
      <w:pPr>
        <w:pStyle w:val="BodyText"/>
      </w:pPr>
      <w:r>
        <w:rPr>
          <w:bCs/>
          <w:b/>
        </w:rPr>
        <w:t xml:space="preserve">Fue la alternativa que más lejos llegó en la discusión, y se descartó</w:t>
      </w:r>
      <w:r>
        <w:t xml:space="preserve"> </w:t>
      </w:r>
      <w:r>
        <w:t xml:space="preserve">por la naturaleza del costo que introduce. Esa capa se rompe con cada actualización de la plataforma base o de sus complementos, de modo que mantenerla no es un costo de proyecto sino un compromiso indefinido. Si queda incompleta, el dato se bifurca: lo que la capa no cubre se consume por otra vía, y aparecen dos versiones de la misma información. Si cambia, los sistemas de terceros quedan obsoletos sin aviso; un contrato que se mueve cuando se mueve la implementación interna no es un contrato. Y donde la capa no alcanza, el consumidor recurre al acceso directo al modelo interno, con lo que las validaciones del sistema dejan de aplicarse por igual.</w:t>
      </w:r>
    </w:p>
    <w:p>
      <w:pPr>
        <w:pStyle w:val="BodyText"/>
      </w:pPr>
      <w:r>
        <w:t xml:space="preserve">Formulado como criterio de Estado:</w:t>
      </w:r>
      <w:r>
        <w:t xml:space="preserve"> </w:t>
      </w:r>
      <w:r>
        <w:rPr>
          <w:bCs/>
          <w:b/>
        </w:rPr>
        <w:t xml:space="preserve">un estándar público no puede tener por contrato la forma interna de almacenamiento de un producto determinado.</w:t>
      </w:r>
    </w:p>
    <w:bookmarkEnd w:id="31"/>
    <w:bookmarkStart w:id="32" w:name="X3c831aa3109954047e7d6fdebbb71b3618fa195"/>
    <w:p>
      <w:pPr>
        <w:pStyle w:val="Heading2"/>
      </w:pPr>
      <w:r>
        <w:t xml:space="preserve">Alternativa C — Especificar y contratar un sistema nuevo, con la especificación escrita por SUBDERE</w:t>
      </w:r>
    </w:p>
    <w:p>
      <w:pPr>
        <w:pStyle w:val="FirstParagraph"/>
      </w:pPr>
      <w:r>
        <w:rPr>
          <w:bCs/>
          <w:b/>
        </w:rPr>
        <w:t xml:space="preserve">Adoptada.</w:t>
      </w:r>
      <w:r>
        <w:t xml:space="preserve"> </w:t>
      </w:r>
      <w:r>
        <w:t xml:space="preserve">Es la única que permite que las reglas de intercambio entre sistemas sean un documento de diseño versionado, de propiedad del Estado, y no el reflejo de una implementación. Y es la única que admite un criterio de recepción verificable, que es la corrección de fondo respecto del ciclo anterior.</w:t>
      </w:r>
    </w:p>
    <w:bookmarkEnd w:id="32"/>
    <w:bookmarkStart w:id="33" w:name="criterios-de-comparación"/>
    <w:p>
      <w:pPr>
        <w:pStyle w:val="Heading2"/>
      </w:pPr>
      <w:r>
        <w:t xml:space="preserve">Criterios de comparación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A. Corregir</w:t>
            </w:r>
          </w:p>
        </w:tc>
        <w:tc>
          <w:tcPr/>
          <w:p>
            <w:pPr>
              <w:pStyle w:val="Compact"/>
              <w:jc w:val="left"/>
            </w:pPr>
            <w:r>
              <w:t xml:space="preserve">B. Capa traductora</w:t>
            </w:r>
          </w:p>
        </w:tc>
        <w:tc>
          <w:tcPr/>
          <w:p>
            <w:pPr>
              <w:pStyle w:val="Compact"/>
              <w:jc w:val="left"/>
            </w:pPr>
            <w:r>
              <w:t xml:space="preserve">C. Especificar y contratar</w:t>
            </w:r>
          </w:p>
        </w:tc>
      </w:tr>
      <w:tr>
        <w:tc>
          <w:tcPr/>
          <w:p>
            <w:pPr>
              <w:pStyle w:val="Compact"/>
              <w:jc w:val="left"/>
            </w:pPr>
            <w:r>
              <w:rPr>
                <w:bCs/>
                <w:b/>
              </w:rPr>
              <w:t xml:space="preserve">Igualdad de acceso</w:t>
            </w:r>
            <w:r>
              <w:t xml:space="preserve">: un municipio o un tercero usa el sistema con las mismas reglas que SUBDERE, sin accesos privilegiados</w:t>
            </w:r>
          </w:p>
        </w:tc>
        <w:tc>
          <w:tcPr/>
          <w:p>
            <w:pPr>
              <w:pStyle w:val="Compact"/>
              <w:jc w:val="left"/>
            </w:pPr>
            <w:r>
              <w:t xml:space="preserve">No</w:t>
            </w:r>
          </w:p>
        </w:tc>
        <w:tc>
          <w:tcPr/>
          <w:p>
            <w:pPr>
              <w:pStyle w:val="Compact"/>
              <w:jc w:val="left"/>
            </w:pPr>
            <w:r>
              <w:t xml:space="preserve">Parcial y frágil</w:t>
            </w:r>
          </w:p>
        </w:tc>
        <w:tc>
          <w:tcPr/>
          <w:p>
            <w:pPr>
              <w:pStyle w:val="Compact"/>
              <w:jc w:val="left"/>
            </w:pPr>
            <w:r>
              <w:t xml:space="preserve">Sí, por diseño</w:t>
            </w:r>
          </w:p>
        </w:tc>
      </w:tr>
      <w:tr>
        <w:tc>
          <w:tcPr/>
          <w:p>
            <w:pPr>
              <w:pStyle w:val="Compact"/>
              <w:jc w:val="left"/>
            </w:pPr>
            <w:r>
              <w:rPr>
                <w:bCs/>
                <w:b/>
              </w:rPr>
              <w:t xml:space="preserve">El contrato de intercambio es artefacto de diseño</w:t>
            </w:r>
            <w:r>
              <w:t xml:space="preserve">, no reflejo de la estructura interna</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rPr>
                <w:bCs/>
                <w:b/>
              </w:rPr>
              <w:t xml:space="preserve">Naturaleza del costo en el tiempo</w:t>
            </w:r>
          </w:p>
        </w:tc>
        <w:tc>
          <w:tcPr/>
          <w:p>
            <w:pPr>
              <w:pStyle w:val="Compact"/>
              <w:jc w:val="left"/>
            </w:pPr>
            <w:r>
              <w:t xml:space="preserve">Recurrente, sobre una base que no alcanza el estándar</w:t>
            </w:r>
          </w:p>
        </w:tc>
        <w:tc>
          <w:tcPr/>
          <w:p>
            <w:pPr>
              <w:pStyle w:val="Compact"/>
              <w:jc w:val="left"/>
            </w:pPr>
            <w:r>
              <w:t xml:space="preserve">Deuda permanente de mantención</w:t>
            </w:r>
          </w:p>
        </w:tc>
        <w:tc>
          <w:tcPr/>
          <w:p>
            <w:pPr>
              <w:pStyle w:val="Compact"/>
              <w:jc w:val="left"/>
            </w:pPr>
            <w:r>
              <w:t xml:space="preserve">Costo de proyecto acotado, más operación del estándar</w:t>
            </w:r>
          </w:p>
        </w:tc>
      </w:tr>
      <w:tr>
        <w:tc>
          <w:tcPr/>
          <w:p>
            <w:pPr>
              <w:pStyle w:val="Compact"/>
              <w:jc w:val="left"/>
            </w:pPr>
            <w:r>
              <w:rPr>
                <w:bCs/>
                <w:b/>
              </w:rPr>
              <w:t xml:space="preserve">Integridad del dato municipal</w:t>
            </w:r>
            <w:r>
              <w:t xml:space="preserve"> </w:t>
            </w:r>
            <w:r>
              <w:t xml:space="preserve">si la capa de acceso queda incompleta</w:t>
            </w:r>
          </w:p>
        </w:tc>
        <w:tc>
          <w:tcPr/>
          <w:p>
            <w:pPr>
              <w:pStyle w:val="Compact"/>
              <w:jc w:val="left"/>
            </w:pPr>
            <w:r>
              <w:t xml:space="preserve">—</w:t>
            </w:r>
          </w:p>
        </w:tc>
        <w:tc>
          <w:tcPr/>
          <w:p>
            <w:pPr>
              <w:pStyle w:val="Compact"/>
              <w:jc w:val="left"/>
            </w:pPr>
            <w:r>
              <w:t xml:space="preserve">Se degrada</w:t>
            </w:r>
          </w:p>
        </w:tc>
        <w:tc>
          <w:tcPr/>
          <w:p>
            <w:pPr>
              <w:pStyle w:val="Compact"/>
              <w:jc w:val="left"/>
            </w:pPr>
            <w:r>
              <w:t xml:space="preserve">No aplica</w:t>
            </w:r>
          </w:p>
        </w:tc>
      </w:tr>
      <w:tr>
        <w:tc>
          <w:tcPr/>
          <w:p>
            <w:pPr>
              <w:pStyle w:val="Compact"/>
              <w:jc w:val="left"/>
            </w:pPr>
            <w:r>
              <w:rPr>
                <w:bCs/>
                <w:b/>
              </w:rPr>
              <w:t xml:space="preserve">Independencia real de módulos</w:t>
            </w:r>
            <w:r>
              <w:t xml:space="preserve">: que un municipio grande adopte solo algunos</w:t>
            </w:r>
          </w:p>
        </w:tc>
        <w:tc>
          <w:tcPr/>
          <w:p>
            <w:pPr>
              <w:pStyle w:val="Compact"/>
              <w:jc w:val="left"/>
            </w:pPr>
            <w:r>
              <w:t xml:space="preserve">No</w:t>
            </w:r>
          </w:p>
        </w:tc>
        <w:tc>
          <w:tcPr/>
          <w:p>
            <w:pPr>
              <w:pStyle w:val="Compact"/>
              <w:jc w:val="left"/>
            </w:pPr>
            <w:r>
              <w:t xml:space="preserve">Limitada</w:t>
            </w:r>
          </w:p>
        </w:tc>
        <w:tc>
          <w:tcPr/>
          <w:p>
            <w:pPr>
              <w:pStyle w:val="Compact"/>
              <w:jc w:val="left"/>
            </w:pPr>
            <w:r>
              <w:t xml:space="preserve">Sí</w:t>
            </w:r>
          </w:p>
        </w:tc>
      </w:tr>
      <w:tr>
        <w:tc>
          <w:tcPr/>
          <w:p>
            <w:pPr>
              <w:pStyle w:val="Compact"/>
              <w:jc w:val="left"/>
            </w:pPr>
            <w:r>
              <w:rPr>
                <w:bCs/>
                <w:b/>
              </w:rPr>
              <w:t xml:space="preserve">Criterio de recepción verificable</w:t>
            </w:r>
            <w:r>
              <w:t xml:space="preserve"> </w:t>
            </w:r>
            <w:r>
              <w:t xml:space="preserve">por efectos, no por documentos</w:t>
            </w:r>
          </w:p>
        </w:tc>
        <w:tc>
          <w:tcPr/>
          <w:p>
            <w:pPr>
              <w:pStyle w:val="Compact"/>
              <w:jc w:val="left"/>
            </w:pPr>
            <w:r>
              <w:t xml:space="preserve">No</w:t>
            </w:r>
          </w:p>
        </w:tc>
        <w:tc>
          <w:tcPr/>
          <w:p>
            <w:pPr>
              <w:pStyle w:val="Compact"/>
              <w:jc w:val="left"/>
            </w:pPr>
            <w:r>
              <w:t xml:space="preserve">No</w:t>
            </w:r>
          </w:p>
        </w:tc>
        <w:tc>
          <w:tcPr/>
          <w:p>
            <w:pPr>
              <w:pStyle w:val="Compact"/>
              <w:jc w:val="left"/>
            </w:pPr>
            <w:r>
              <w:t xml:space="preserve">Sí</w:t>
            </w:r>
          </w:p>
        </w:tc>
      </w:tr>
      <w:tr>
        <w:tc>
          <w:tcPr/>
          <w:p>
            <w:pPr>
              <w:pStyle w:val="Compact"/>
              <w:jc w:val="left"/>
            </w:pPr>
            <w:r>
              <w:rPr>
                <w:bCs/>
                <w:b/>
              </w:rPr>
              <w:t xml:space="preserve">Continuidad para los municipios en operación</w:t>
            </w:r>
          </w:p>
        </w:tc>
        <w:tc>
          <w:tcPr/>
          <w:p>
            <w:pPr>
              <w:pStyle w:val="Compact"/>
              <w:jc w:val="left"/>
            </w:pPr>
            <w:r>
              <w:t xml:space="preserve">Alta</w:t>
            </w:r>
          </w:p>
        </w:tc>
        <w:tc>
          <w:tcPr/>
          <w:p>
            <w:pPr>
              <w:pStyle w:val="Compact"/>
              <w:jc w:val="left"/>
            </w:pPr>
            <w:r>
              <w:t xml:space="preserve">Alta</w:t>
            </w:r>
          </w:p>
        </w:tc>
        <w:tc>
          <w:tcPr/>
          <w:p>
            <w:pPr>
              <w:pStyle w:val="Compact"/>
              <w:jc w:val="left"/>
            </w:pPr>
            <w:r>
              <w:t xml:space="preserve">Requiere plan de transición (sección 4)</w:t>
            </w:r>
          </w:p>
        </w:tc>
      </w:tr>
    </w:tbl>
    <w:bookmarkEnd w:id="33"/>
    <w:bookmarkStart w:id="34" w:name="el-hallazgo-que-ordena-la-decisión"/>
    <w:p>
      <w:pPr>
        <w:pStyle w:val="Heading2"/>
      </w:pPr>
      <w:r>
        <w:t xml:space="preserve">El hallazgo que ordena la decisión</w:t>
      </w:r>
    </w:p>
    <w:p>
      <w:pPr>
        <w:pStyle w:val="FirstParagraph"/>
      </w:pPr>
      <w:r>
        <w:t xml:space="preserve">La contratación de 2024 exigía simultáneamente dos cosas incompatibles.</w:t>
      </w:r>
    </w:p>
    <w:p>
      <w:pPr>
        <w:pStyle w:val="BodyText"/>
      </w:pPr>
      <w:r>
        <w:t xml:space="preserve">Por una parte, definía la plataforma base y restringía la oferta a ella. Por otra, en el numeral 13.2 requería «frontend desarrollado con tecnologías modernas como React o Angular, y backend basado en frameworks robustos como Django o Node.js» y el «uso de APIs RESTful u otros estándares similares», e incorporaba como actividad contratada el «desarrollo e implementación de APIs RESTful o similares, necesarias para la integración y comunicación entre módulos y sistemas externos».</w:t>
      </w:r>
    </w:p>
    <w:p>
      <w:pPr>
        <w:pStyle w:val="BodyText"/>
      </w:pPr>
      <w:r>
        <w:t xml:space="preserve">La exigencia de interfaz no era una preferencia de redacción. La propia Intención de Compra ordena atenerse a los «Lineamientos para el desarrollo de software en instituciones públicas» de la Secretaría de Gobierno Digital, que forman parte de los antecedentes del Convenio Marco. Esos lineamientos (versión 2.0, mayo de 2021) exigen desacoplar clientes y servicios web, exponer los servicios bajo arquitectura REST sobre HTTP con mecanismos de autenticación —tokens, certificados o llaves criptográficas—, y documentar las interfaces con OpenAPI Specification v3.0 o superior, «siendo este punto un requisito fundamental en la documentación entregable de un proyecto».</w:t>
      </w:r>
    </w:p>
    <w:p>
      <w:pPr>
        <w:pStyle w:val="BodyText"/>
      </w:pPr>
      <w:r>
        <w:t xml:space="preserve">La incompatibilidad entre esa exigencia y la plataforma base estaba advertida en el propio insumo que fundó la contratación:</w:t>
      </w:r>
    </w:p>
    <w:p>
      <w:pPr>
        <w:pStyle w:val="BlockText"/>
      </w:pPr>
      <w:r>
        <w:t xml:space="preserve">«Ofrece APIs abiertas que facilitan la integración con otros sistemas, tanto internos como externos. No es una API Rest, sino que a partir de librerías (disponibles para varios lenguajes de programación) desarrollados por Odoo.»</w:t>
      </w:r>
    </w:p>
    <w:p>
      <w:pPr>
        <w:pStyle w:val="BlockText"/>
      </w:pPr>
      <w:r>
        <w:t xml:space="preserve">— Informe 4,</w:t>
      </w:r>
      <w:r>
        <w:t xml:space="preserve"> </w:t>
      </w:r>
      <w:r>
        <w:rPr>
          <w:iCs/>
          <w:i/>
        </w:rPr>
        <w:t xml:space="preserve">Levantamiento de procesos y diseño de servicio SGM</w:t>
      </w:r>
      <w:r>
        <w:t xml:space="preserve">, julio de 2024, p. 58.</w:t>
      </w:r>
    </w:p>
    <w:p>
      <w:pPr>
        <w:pStyle w:val="FirstParagraph"/>
      </w:pPr>
      <w:r>
        <w:t xml:space="preserve">En 2024 esa advertencia no era decisiva: el objetivo de la etapa era establecer el dominio funcional del sistema con municipios reales, y la exigencia de una puerta de servicio pública y estable —que es lo que vuelve posible la modularidad, la igualdad de acceso y la interoperabilidad con el resto del Estado— no se había incorporado todavía como requisito estructural del estándar municipal.</w:t>
      </w:r>
    </w:p>
    <w:p>
      <w:pPr>
        <w:pStyle w:val="BodyText"/>
      </w:pPr>
      <w:r>
        <w:rPr>
          <w:bCs/>
          <w:b/>
        </w:rPr>
        <w:t xml:space="preserve">El ciclo 2024–2025 resolvió esa tensión con evidencia.</w:t>
      </w:r>
      <w:r>
        <w:t xml:space="preserve"> </w:t>
      </w:r>
      <w:r>
        <w:t xml:space="preserve">Estableció, construyendo y verificando sobre el código, cuál de los dos requisitos era el objetivo y cuál era el medio. La segunda etapa conserva íntegramente el objetivo —modularidad, igualdad de acceso, interoperabilidad, cumplimiento normativo— y cambia el medio.</w:t>
      </w:r>
    </w:p>
    <w:p>
      <w:pPr>
        <w:pStyle w:val="BodyText"/>
      </w:pPr>
      <w:r>
        <w:t xml:space="preserve">Haberlo establecido en marcha blanca con cinco municipios, y no en producción con datos reales de ejecución presupuestaria en un número mayor de municipios, es el resultado que esa etapa debía producir.</w:t>
      </w:r>
    </w:p>
    <w:p>
      <w:r>
        <w:pict>
          <v:rect style="width:0;height:1.5pt" o:hralign="center" o:hrstd="t" o:hr="t"/>
        </w:pict>
      </w:r>
    </w:p>
    <w:bookmarkEnd w:id="34"/>
    <w:bookmarkEnd w:id="35"/>
    <w:bookmarkStart w:id="41" w:name="justificación-de-la-segunda-etapa"/>
    <w:p>
      <w:pPr>
        <w:pStyle w:val="Heading1"/>
      </w:pPr>
      <w:r>
        <w:t xml:space="preserve">4. Justificación de la segunda etapa</w:t>
      </w:r>
    </w:p>
    <w:bookmarkStart w:id="36" w:name="justificación-técnica"/>
    <w:p>
      <w:pPr>
        <w:pStyle w:val="Heading2"/>
      </w:pPr>
      <w:r>
        <w:t xml:space="preserve">4.1 Justificación técnica</w:t>
      </w:r>
    </w:p>
    <w:p>
      <w:pPr>
        <w:pStyle w:val="FirstParagraph"/>
      </w:pPr>
      <w:r>
        <w:t xml:space="preserve">El hallazgo determinante no se resuelve con más presupuesto sobre la misma base: la plataforma actual no admite, sin deuda permanente, el principio de que SUBDERE y cualquier tercero consuman el sistema por la misma puerta pública y documentada. Los demás hallazgos —el modelado genérico de las modalidades de compra, el devengo desacoplado, las integraciones declaradas y no operativas— refuerzan esa conclusión, no la sustituyen.</w:t>
      </w:r>
    </w:p>
    <w:p>
      <w:pPr>
        <w:pStyle w:val="BodyText"/>
      </w:pPr>
      <w:r>
        <w:t xml:space="preserve">La respuesta es fijar en las bases, como condiciones definidas por SUBDERE y no delegables al adjudicatario:</w:t>
      </w:r>
    </w:p>
    <w:p>
      <w:pPr>
        <w:numPr>
          <w:ilvl w:val="0"/>
          <w:numId w:val="1002"/>
        </w:numPr>
        <w:pStyle w:val="Compact"/>
      </w:pPr>
      <w:r>
        <w:t xml:space="preserve">Una</w:t>
      </w:r>
      <w:r>
        <w:t xml:space="preserve"> </w:t>
      </w:r>
      <w:r>
        <w:rPr>
          <w:bCs/>
          <w:b/>
        </w:rPr>
        <w:t xml:space="preserve">puerta de servicio pública y documentada</w:t>
      </w:r>
      <w:r>
        <w:t xml:space="preserve">, descrita con OpenAPI Specification v3.0 o superior conforme a los lineamientos de la Secretaría de Gobierno Digital, con la especificación como fuente de verdad frente al código, y sin accesos privilegiados para ningún consumidor, incluido el propio frontend de SUBDERE.</w:t>
      </w:r>
    </w:p>
    <w:p>
      <w:pPr>
        <w:numPr>
          <w:ilvl w:val="0"/>
          <w:numId w:val="1002"/>
        </w:numPr>
        <w:pStyle w:val="Compact"/>
      </w:pPr>
      <w:r>
        <w:rPr>
          <w:bCs/>
          <w:b/>
        </w:rPr>
        <w:t xml:space="preserve">Efectos verificables por interfaz</w:t>
      </w:r>
      <w:r>
        <w:t xml:space="preserve"> </w:t>
      </w:r>
      <w:r>
        <w:t xml:space="preserve">como criterio de recepción: que una recepción conforme comprometa presupuesto, que ese compromiso genere el asiento contable, que la suspensión de pago suspenda efectivamente el pago.</w:t>
      </w:r>
    </w:p>
    <w:p>
      <w:pPr>
        <w:numPr>
          <w:ilvl w:val="0"/>
          <w:numId w:val="1002"/>
        </w:numPr>
        <w:pStyle w:val="Compact"/>
      </w:pPr>
      <w:r>
        <w:rPr>
          <w:bCs/>
          <w:b/>
        </w:rPr>
        <w:t xml:space="preserve">Exportación e importación de los datos del municipio</w:t>
      </w:r>
      <w:r>
        <w:t xml:space="preserve"> </w:t>
      </w:r>
      <w:r>
        <w:t xml:space="preserve">como operaciones del catálogo público, invocables por el municipio con credencial propia, sin costo y con nivel de servicio declarado.</w:t>
      </w:r>
    </w:p>
    <w:p>
      <w:pPr>
        <w:numPr>
          <w:ilvl w:val="0"/>
          <w:numId w:val="1002"/>
        </w:numPr>
        <w:pStyle w:val="Compact"/>
      </w:pPr>
      <w:r>
        <w:rPr>
          <w:bCs/>
          <w:b/>
        </w:rPr>
        <w:t xml:space="preserve">Reglas de negocio bloqueantes aplicadas en el servidor</w:t>
      </w:r>
      <w:r>
        <w:t xml:space="preserve">, no solo en la pantalla.</w:t>
      </w:r>
    </w:p>
    <w:p>
      <w:pPr>
        <w:numPr>
          <w:ilvl w:val="0"/>
          <w:numId w:val="1002"/>
        </w:numPr>
        <w:pStyle w:val="Compact"/>
      </w:pPr>
      <w:r>
        <w:rPr>
          <w:bCs/>
          <w:b/>
        </w:rPr>
        <w:t xml:space="preserve">Propiedad estatal del código, con cesión expresa de derechos</w:t>
      </w:r>
      <w:r>
        <w:t xml:space="preserve"> </w:t>
      </w:r>
      <w:r>
        <w:t xml:space="preserve">y cláusulas de portabilidad, escritas en las bases propias y no heredadas de un instrumento superior (sección 5.3).</w:t>
      </w:r>
    </w:p>
    <w:p>
      <w:pPr>
        <w:numPr>
          <w:ilvl w:val="0"/>
          <w:numId w:val="1002"/>
        </w:numPr>
        <w:pStyle w:val="Compact"/>
      </w:pPr>
      <w:r>
        <w:rPr>
          <w:bCs/>
          <w:b/>
        </w:rPr>
        <w:t xml:space="preserve">Cumplimiento normativo desde el diseño</w:t>
      </w:r>
      <w:r>
        <w:t xml:space="preserve">: Ley 21.180 de Transformación Digital, normativa de ciberseguridad y documentos electrónicos, protección de datos personales, compras públicas y firma electrónica.</w:t>
      </w:r>
    </w:p>
    <w:p>
      <w:pPr>
        <w:numPr>
          <w:ilvl w:val="0"/>
          <w:numId w:val="1002"/>
        </w:numPr>
        <w:pStyle w:val="Compact"/>
      </w:pPr>
      <w:r>
        <w:rPr>
          <w:bCs/>
          <w:b/>
        </w:rPr>
        <w:t xml:space="preserve">Trazabilidad de cada expediente con folio único</w:t>
      </w:r>
      <w:r>
        <w:t xml:space="preserve"> </w:t>
      </w:r>
      <w:r>
        <w:t xml:space="preserve">y documentos y evidencias fuera de la base de datos de operación diaria.</w:t>
      </w:r>
    </w:p>
    <w:p>
      <w:pPr>
        <w:numPr>
          <w:ilvl w:val="0"/>
          <w:numId w:val="1002"/>
        </w:numPr>
        <w:pStyle w:val="Compact"/>
      </w:pPr>
      <w:r>
        <w:rPr>
          <w:bCs/>
          <w:b/>
        </w:rPr>
        <w:t xml:space="preserve">Componentes abiertos</w:t>
      </w:r>
      <w:r>
        <w:t xml:space="preserve">, sin encierro por licenciamiento propietario, y sin exigir una marca determinada de software, que expondría el proceso a impugnación por restricción de competencia bajo la Ley 19.886.</w:t>
      </w:r>
    </w:p>
    <w:bookmarkEnd w:id="36"/>
    <w:bookmarkStart w:id="37" w:name="el-instrumento-de-contratación"/>
    <w:p>
      <w:pPr>
        <w:pStyle w:val="Heading2"/>
      </w:pPr>
      <w:r>
        <w:t xml:space="preserve">4.2 El instrumento de contratación</w:t>
      </w:r>
    </w:p>
    <w:p>
      <w:pPr>
        <w:pStyle w:val="FirstParagraph"/>
      </w:pPr>
      <w:r>
        <w:t xml:space="preserve">El ciclo anterior se contrató por gran compra sobre convenio marco. Esa modalidad restringe la evaluación a los proveedores ya adjudicados en la subcategoría y a criterios técnicos adicionales, y no admite construir bases con criterios de recepción por efectos, régimen de conformidad ni exigencias de titularidad del código.</w:t>
      </w:r>
      <w:r>
        <w:t xml:space="preserve"> </w:t>
      </w:r>
      <w:r>
        <w:rPr>
          <w:bCs/>
          <w:b/>
        </w:rPr>
        <w:t xml:space="preserve">Parte de lo que hoy se identifica como indispensable no era exigible con el instrumento utilizado.</w:t>
      </w:r>
      <w:r>
        <w:t xml:space="preserve"> </w:t>
      </w:r>
      <w:r>
        <w:t xml:space="preserve">El cambio de instrumento es, por lo tanto, parte de la justificación técnica y no solo una preferencia administrativa.</w:t>
      </w:r>
    </w:p>
    <w:p>
      <w:pPr>
        <w:pStyle w:val="BodyText"/>
      </w:pPr>
      <w:r>
        <w:t xml:space="preserve">Hay tres caminos, y la decisión tiene fechas reales asociadas: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Vía</w:t>
            </w:r>
          </w:p>
        </w:tc>
        <w:tc>
          <w:tcPr/>
          <w:p>
            <w:pPr>
              <w:pStyle w:val="Compact"/>
              <w:jc w:val="left"/>
            </w:pPr>
            <w:r>
              <w:t xml:space="preserve">Disponibilidad</w:t>
            </w:r>
          </w:p>
        </w:tc>
        <w:tc>
          <w:tcPr/>
          <w:p>
            <w:pPr>
              <w:pStyle w:val="Compact"/>
              <w:jc w:val="left"/>
            </w:pPr>
            <w:r>
              <w:t xml:space="preserve">Qué permite</w:t>
            </w:r>
          </w:p>
        </w:tc>
        <w:tc>
          <w:tcPr/>
          <w:p>
            <w:pPr>
              <w:pStyle w:val="Compact"/>
              <w:jc w:val="left"/>
            </w:pPr>
            <w:r>
              <w:t xml:space="preserve">Qué no permite</w:t>
            </w:r>
          </w:p>
        </w:tc>
      </w:tr>
      <w:tr>
        <w:tc>
          <w:tcPr/>
          <w:p>
            <w:pPr>
              <w:pStyle w:val="Compact"/>
              <w:jc w:val="left"/>
            </w:pPr>
            <w:r>
              <w:rPr>
                <w:bCs/>
                <w:b/>
              </w:rPr>
              <w:t xml:space="preserve">Gran compra sobre el Convenio Marco vigente</w:t>
            </w:r>
            <w:r>
              <w:t xml:space="preserve"> </w:t>
            </w:r>
            <w:r>
              <w:t xml:space="preserve">(2239-19-LR23)</w:t>
            </w:r>
          </w:p>
        </w:tc>
        <w:tc>
          <w:tcPr/>
          <w:p>
            <w:pPr>
              <w:pStyle w:val="Compact"/>
              <w:jc w:val="left"/>
            </w:pPr>
            <w:r>
              <w:t xml:space="preserve">Hasta el término de su vigencia; su garantía corre hasta el 08-03-2027</w:t>
            </w:r>
          </w:p>
        </w:tc>
        <w:tc>
          <w:tcPr/>
          <w:p>
            <w:pPr>
              <w:pStyle w:val="Compact"/>
              <w:jc w:val="left"/>
            </w:pPr>
            <w:r>
              <w:t xml:space="preserve">Rapidez; procedimiento conocido</w:t>
            </w:r>
          </w:p>
        </w:tc>
        <w:tc>
          <w:tcPr/>
          <w:p>
            <w:pPr>
              <w:pStyle w:val="Compact"/>
              <w:jc w:val="left"/>
            </w:pPr>
            <w:r>
              <w:t xml:space="preserve">Criterios de recepción por efectos, régimen de conformidad, titularidad del código</w:t>
            </w:r>
          </w:p>
        </w:tc>
      </w:tr>
      <w:tr>
        <w:tc>
          <w:tcPr/>
          <w:p>
            <w:pPr>
              <w:pStyle w:val="Compact"/>
              <w:jc w:val="left"/>
            </w:pPr>
            <w:r>
              <w:rPr>
                <w:bCs/>
                <w:b/>
              </w:rPr>
              <w:t xml:space="preserve">Gran compra sobre el nuevo Convenio Marco</w:t>
            </w:r>
            <w:r>
              <w:t xml:space="preserve"> </w:t>
            </w:r>
            <w:r>
              <w:t xml:space="preserve">(2239-2-LR26)</w:t>
            </w:r>
          </w:p>
        </w:tc>
        <w:tc>
          <w:tcPr/>
          <w:p>
            <w:pPr>
              <w:pStyle w:val="Compact"/>
              <w:jc w:val="left"/>
            </w:pPr>
            <w:r>
              <w:t xml:space="preserve">Cierre de ofertas 09-10-2026; adjudicación estimada 07-12-2026</w:t>
            </w:r>
          </w:p>
        </w:tc>
        <w:tc>
          <w:tcPr/>
          <w:p>
            <w:pPr>
              <w:pStyle w:val="Compact"/>
              <w:jc w:val="left"/>
            </w:pPr>
            <w:r>
              <w:t xml:space="preserve">Catálogo más amplio (18 tipos de servicio)</w:t>
            </w:r>
          </w:p>
        </w:tc>
        <w:tc>
          <w:tcPr/>
          <w:p>
            <w:pPr>
              <w:pStyle w:val="Compact"/>
              <w:jc w:val="left"/>
            </w:pPr>
            <w:r>
              <w:t xml:space="preserve">Las mismas limitaciones de alcance de la modalidad</w:t>
            </w:r>
          </w:p>
        </w:tc>
      </w:tr>
      <w:tr>
        <w:tc>
          <w:tcPr/>
          <w:p>
            <w:pPr>
              <w:pStyle w:val="Compact"/>
              <w:jc w:val="left"/>
            </w:pPr>
            <w:r>
              <w:rPr>
                <w:bCs/>
                <w:b/>
              </w:rPr>
              <w:t xml:space="preserve">Licitación pública propia</w:t>
            </w:r>
          </w:p>
        </w:tc>
        <w:tc>
          <w:tcPr/>
          <w:p>
            <w:pPr>
              <w:pStyle w:val="Compact"/>
              <w:jc w:val="left"/>
            </w:pPr>
            <w:r>
              <w:t xml:space="preserve">Según calendario de SUBDERE</w:t>
            </w:r>
          </w:p>
        </w:tc>
        <w:tc>
          <w:tcPr/>
          <w:p>
            <w:pPr>
              <w:pStyle w:val="Compact"/>
              <w:jc w:val="left"/>
            </w:pPr>
            <w:r>
              <w:t xml:space="preserve">Bases escritas por SUBDERE, con criterio de recepción, conformidad, portabilidad y propiedad del código</w:t>
            </w:r>
          </w:p>
        </w:tc>
        <w:tc>
          <w:tcPr/>
          <w:p>
            <w:pPr>
              <w:pStyle w:val="Compact"/>
              <w:jc w:val="left"/>
            </w:pPr>
            <w:r>
              <w:t xml:space="preserve">Mayor plazo de preparación y de proceso</w:t>
            </w:r>
          </w:p>
        </w:tc>
      </w:tr>
    </w:tbl>
    <w:p>
      <w:pPr>
        <w:pStyle w:val="BodyText"/>
      </w:pPr>
      <w:r>
        <w:t xml:space="preserve">La recomendación técnica es la tercera vía, precisamente porque las condiciones enumeradas en 4.1 no son exigibles por las otras dos. La decisión final es de jefatura y debe adoptarse antes de noviembre de 2026, porque determina el calendario completo.</w:t>
      </w:r>
    </w:p>
    <w:bookmarkEnd w:id="37"/>
    <w:bookmarkStart w:id="38" w:name="justificación-económica"/>
    <w:p>
      <w:pPr>
        <w:pStyle w:val="Heading2"/>
      </w:pPr>
      <w:r>
        <w:t xml:space="preserve">4.3 Justificación económica</w:t>
      </w:r>
    </w:p>
    <w:p>
      <w:pPr>
        <w:pStyle w:val="FirstParagraph"/>
      </w:pPr>
      <w:r>
        <w:rPr>
          <w:bCs/>
          <w:b/>
        </w:rPr>
        <w:t xml:space="preserve">Lo que se conoce.</w:t>
      </w:r>
      <w:r>
        <w:t xml:space="preserve"> </w:t>
      </w:r>
      <w:r>
        <w:t xml:space="preserve">El ciclo 2024–2025 se adjudicó en UF 4.317,4200, bajo un presupuesto máximo de $198.203.333 impuestos incluidos, para cinco módulos, cinco municipios y nueve meses de ejecución. Es la única referencia empírica propia disponible y constituye un piso, no una estimación: la segunda etapa incorpora alcance que la primera no tenía —integraciones con organismos del Estado, exportación e importación verificables, régimen de conformidad, y una puerta de servicio pública mantenida como compromiso permanente.</w:t>
      </w:r>
    </w:p>
    <w:p>
      <w:pPr>
        <w:pStyle w:val="BlockText"/>
      </w:pPr>
      <w:r>
        <w:rPr>
          <w:iCs/>
          <w:i/>
        </w:rPr>
        <w:t xml:space="preserve">[Por completar antes del envío: montos efectivamente pagados por cuota, en pesos, según los estados de pago.]</w:t>
      </w:r>
    </w:p>
    <w:p>
      <w:pPr>
        <w:pStyle w:val="FirstParagraph"/>
      </w:pPr>
      <w:r>
        <w:rPr>
          <w:bCs/>
          <w:b/>
        </w:rPr>
        <w:t xml:space="preserve">Lo que cuesta corregir sobre la base actual.</w:t>
      </w:r>
      <w:r>
        <w:t xml:space="preserve"> </w:t>
      </w:r>
      <w:r>
        <w:t xml:space="preserve">El control de calidad entregó una cifra verificable para el módulo de mayor cobertura:</w:t>
      </w:r>
      <w:r>
        <w:t xml:space="preserve"> </w:t>
      </w:r>
      <w:r>
        <w:rPr>
          <w:bCs/>
          <w:b/>
        </w:rPr>
        <w:t xml:space="preserve">1.968 horas-hombre para resolver los 67 hallazgos de Adquisiciones</w:t>
      </w:r>
      <w:r>
        <w:t xml:space="preserve">, equivalentes a unos 29 hh promedio por hallazgo. Ese módulo concentra el 36 % de los 188 hallazgos. Y dentro de esa cifra,</w:t>
      </w:r>
      <w:r>
        <w:t xml:space="preserve"> </w:t>
      </w:r>
      <w:r>
        <w:rPr>
          <w:bCs/>
          <w:b/>
        </w:rPr>
        <w:t xml:space="preserve">922 horas corresponden a ocho hallazgos que el propio equipo clasificó como trabajo que no debe ejecutarse sobre la plataforma actual</w:t>
      </w:r>
      <w:r>
        <w:t xml:space="preserve"> </w:t>
      </w:r>
      <w:r>
        <w:t xml:space="preserve">—catálogo de productos, modalidades de compra, resolución de compra, integración con Mercado Público, comisión evaluadora—, porque exigen decisiones de modelo de datos y de arquitectura que la segunda etapa debe resolver una sola vez.</w:t>
      </w:r>
    </w:p>
    <w:p>
      <w:pPr>
        <w:pStyle w:val="BodyText"/>
      </w:pPr>
      <w:r>
        <w:t xml:space="preserve">Dicho de otro modo: casi la mitad del esfuerzo de remediación de un solo módulo es trabajo que, ejecutado sobre la base actual, habría que volver a hacer. Esa es la forma concreta que toma la deuda descrita en la alternativa B.</w:t>
      </w:r>
    </w:p>
    <w:p>
      <w:pPr>
        <w:pStyle w:val="BodyText"/>
      </w:pPr>
      <w:r>
        <w:rPr>
          <w:bCs/>
          <w:b/>
        </w:rPr>
        <w:t xml:space="preserve">La comparación entre alternativas.</w:t>
      </w:r>
      <w:r>
        <w:t xml:space="preserve"> </w:t>
      </w:r>
      <w:r>
        <w:t xml:space="preserve">Mantener una capa traductora sobre la plataforma actual es un gasto indefinido cuya magnitud no se puede acotar, porque depende del ritmo de versiones de un producto que SUBDERE no controla y crece con cada municipio incorporado. Especificar y contratar un sistema con puerta de servicio propia es un costo de proyecto, acotado en el tiempo, más un costo de operación permanente del estándar y su catálogo, que sí es dimensionable y debe presupuestarse explícitamente.</w:t>
      </w:r>
    </w:p>
    <w:p>
      <w:pPr>
        <w:pStyle w:val="BodyText"/>
      </w:pPr>
      <w:r>
        <w:rPr>
          <w:bCs/>
          <w:b/>
        </w:rPr>
        <w:t xml:space="preserve">Qué reduce el riesgo económico de esta segunda etapa.</w:t>
      </w:r>
      <w:r>
        <w:t xml:space="preserve"> </w:t>
      </w:r>
      <w:r>
        <w:t xml:space="preserve">No se parte de cero: se parte de 42 procesos levantados y validados en terreno, de un modelo de datos contrastado contra código, de 188 hallazgos documentados y convertibles en requisitos, y de la experiencia de operación de cinco municipios. Una licitación con especificación escrita y criterio de recepción verificable tiene una dispersión de ofertas y un riesgo de ejecución sustantivamente menores que una con especificación de procedimiento.</w:t>
      </w:r>
    </w:p>
    <w:p>
      <w:pPr>
        <w:pStyle w:val="BodyText"/>
      </w:pPr>
      <w:r>
        <w:rPr>
          <w:bCs/>
          <w:b/>
        </w:rPr>
        <w:t xml:space="preserve">Cómo se obtendrá el precio.</w:t>
      </w:r>
      <w:r>
        <w:t xml:space="preserve"> </w:t>
      </w:r>
      <w:r>
        <w:t xml:space="preserve">Mediante consulta formal al mercado (RFI) a través de Mercado Público, al amparo de la reforma a la Ley 19.886 introducida por la Ley 21.634: convocatoria pública, registro de lo conversado y sin reuniones informales que expongan el proceso a impugnación. SUBDERE debe concurrir a esa consulta con un borrador de estándar ya escrito —qué debe cumplir el sistema y cómo se verifica—, no con página en blanco.</w:t>
      </w:r>
    </w:p>
    <w:p>
      <w:pPr>
        <w:pStyle w:val="BodyText"/>
      </w:pPr>
      <w:r>
        <w:rPr>
          <w:bCs/>
          <w:b/>
        </w:rPr>
        <w:t xml:space="preserve">Una advertencia de diseño económico.</w:t>
      </w:r>
      <w:r>
        <w:t xml:space="preserve"> </w:t>
      </w:r>
      <w:r>
        <w:t xml:space="preserve">Si las bases reducen las conexiones críticas —DocDigital, Mercado Público, FirmaGob, Servicio de Impuestos Internos, bancos— a «generar un archivo para que alguien lo cargue a mano», se adquiere la situación actual con una interfaz nueva: el trabajo manual que el SGM debe eliminar se reintroduce por la puerta de las bases.</w:t>
      </w:r>
    </w:p>
    <w:bookmarkEnd w:id="38"/>
    <w:bookmarkStart w:id="39" w:name="riesgos-y-mitigación"/>
    <w:p>
      <w:pPr>
        <w:pStyle w:val="Heading2"/>
      </w:pPr>
      <w:r>
        <w:t xml:space="preserve">4.4 Riesgos y mitigación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Riesgo</w:t>
            </w:r>
          </w:p>
        </w:tc>
        <w:tc>
          <w:tcPr/>
          <w:p>
            <w:pPr>
              <w:pStyle w:val="Compact"/>
              <w:jc w:val="left"/>
            </w:pPr>
            <w:r>
              <w:t xml:space="preserve">Mitigación</w:t>
            </w:r>
          </w:p>
        </w:tc>
      </w:tr>
      <w:tr>
        <w:tc>
          <w:tcPr/>
          <w:p>
            <w:pPr>
              <w:pStyle w:val="Compact"/>
              <w:jc w:val="left"/>
            </w:pPr>
            <w:r>
              <w:t xml:space="preserve">Discontinuidad para los municipios que hoy operan el sistema</w:t>
            </w:r>
          </w:p>
        </w:tc>
        <w:tc>
          <w:tcPr/>
          <w:p>
            <w:pPr>
              <w:pStyle w:val="Compact"/>
              <w:jc w:val="left"/>
            </w:pPr>
            <w:r>
              <w:t xml:space="preserve">Plan de transición módulo a módulo con soporte definido; ver 4.5</w:t>
            </w:r>
          </w:p>
        </w:tc>
      </w:tr>
      <w:tr>
        <w:tc>
          <w:tcPr/>
          <w:p>
            <w:pPr>
              <w:pStyle w:val="Compact"/>
              <w:jc w:val="left"/>
            </w:pPr>
            <w:r>
              <w:t xml:space="preserve">Dependencia de respuestas de terceros (Gobierno Digital, Contraloría, ChileCompra, formatos de DIPRES)</w:t>
            </w:r>
          </w:p>
        </w:tc>
        <w:tc>
          <w:tcPr/>
          <w:p>
            <w:pPr>
              <w:pStyle w:val="Compact"/>
              <w:jc w:val="left"/>
            </w:pPr>
            <w:r>
              <w:t xml:space="preserve">Secuenciar la etapa 1 sobre las integraciones que no requieren acuerdo previo; iniciar las gestiones en paralelo, no en la ruta crítica</w:t>
            </w:r>
          </w:p>
        </w:tc>
      </w:tr>
      <w:tr>
        <w:tc>
          <w:tcPr/>
          <w:p>
            <w:pPr>
              <w:pStyle w:val="Compact"/>
              <w:jc w:val="left"/>
            </w:pPr>
            <w:r>
              <w:t xml:space="preserve">Especificar módulo a módulo sin gobierno transversal, con desalineación entre módulos</w:t>
            </w:r>
          </w:p>
        </w:tc>
        <w:tc>
          <w:tcPr/>
          <w:p>
            <w:pPr>
              <w:pStyle w:val="Compact"/>
              <w:jc w:val="left"/>
            </w:pPr>
            <w:r>
              <w:t xml:space="preserve">Cerrar el modelo común y los contratos entre módulos antes de especificar cada módulo</w:t>
            </w:r>
          </w:p>
        </w:tc>
      </w:tr>
      <w:tr>
        <w:tc>
          <w:tcPr/>
          <w:p>
            <w:pPr>
              <w:pStyle w:val="Compact"/>
              <w:jc w:val="left"/>
            </w:pPr>
            <w:r>
              <w:t xml:space="preserve">Subestimar la coordinación cuando un mismo hecho de negocio debe producir varios efectos</w:t>
            </w:r>
          </w:p>
        </w:tc>
        <w:tc>
          <w:tcPr/>
          <w:p>
            <w:pPr>
              <w:pStyle w:val="Compact"/>
              <w:jc w:val="left"/>
            </w:pPr>
            <w:r>
              <w:t xml:space="preserve">Declarar los efectos entre módulos como parte del estándar y como criterio de recepción</w:t>
            </w:r>
          </w:p>
        </w:tc>
      </w:tr>
      <w:tr>
        <w:tc>
          <w:tcPr/>
          <w:p>
            <w:pPr>
              <w:pStyle w:val="Compact"/>
              <w:jc w:val="left"/>
            </w:pPr>
            <w:r>
              <w:t xml:space="preserve">Que la especificación quede describiendo la implementación del adjudicatario</w:t>
            </w:r>
          </w:p>
        </w:tc>
        <w:tc>
          <w:tcPr/>
          <w:p>
            <w:pPr>
              <w:pStyle w:val="Compact"/>
              <w:jc w:val="left"/>
            </w:pPr>
            <w:r>
              <w:t xml:space="preserve">La especificación la escribe SUBDERE antes de contratar y no se delega</w:t>
            </w:r>
          </w:p>
        </w:tc>
      </w:tr>
      <w:tr>
        <w:tc>
          <w:tcPr/>
          <w:p>
            <w:pPr>
              <w:pStyle w:val="Compact"/>
              <w:jc w:val="left"/>
            </w:pPr>
            <w:r>
              <w:t xml:space="preserve">Capacidad de contraparte técnica para escribir bases y recibir el sistema</w:t>
            </w:r>
          </w:p>
        </w:tc>
        <w:tc>
          <w:tcPr/>
          <w:p>
            <w:pPr>
              <w:pStyle w:val="Compact"/>
              <w:jc w:val="left"/>
            </w:pPr>
            <w:r>
              <w:t xml:space="preserve">Definir la dotación mínima de contraparte antes de publicar bases</w:t>
            </w:r>
          </w:p>
        </w:tc>
      </w:tr>
      <w:tr>
        <w:tc>
          <w:tcPr/>
          <w:p>
            <w:pPr>
              <w:pStyle w:val="Compact"/>
              <w:jc w:val="left"/>
            </w:pPr>
            <w:r>
              <w:t xml:space="preserve">Cambio de instrumento de contratación en curso (nuevo convenio marco)</w:t>
            </w:r>
          </w:p>
        </w:tc>
        <w:tc>
          <w:tcPr/>
          <w:p>
            <w:pPr>
              <w:pStyle w:val="Compact"/>
              <w:jc w:val="left"/>
            </w:pPr>
            <w:r>
              <w:t xml:space="preserve">Adoptar la decisión de vía antes de noviembre de 2026</w:t>
            </w:r>
          </w:p>
        </w:tc>
      </w:tr>
    </w:tbl>
    <w:bookmarkEnd w:id="39"/>
    <w:bookmarkStart w:id="40" w:name="X8ff7fb593d1b872f5483bcc6ef03ebbd92b5b25"/>
    <w:p>
      <w:pPr>
        <w:pStyle w:val="Heading2"/>
      </w:pPr>
      <w:r>
        <w:t xml:space="preserve">4.5 Continuidad del servicio para los municipios</w:t>
      </w:r>
    </w:p>
    <w:p>
      <w:pPr>
        <w:pStyle w:val="FirstParagraph"/>
      </w:pPr>
      <w:r>
        <w:t xml:space="preserve">Las cinco municipalidades que participaron del piloto y la marcha blanca continúan operando sobre el sistema actual durante la transición; ninguna queda sin herramienta.</w:t>
      </w:r>
    </w:p>
    <w:p>
      <w:pPr>
        <w:pStyle w:val="BodyText"/>
      </w:pPr>
      <w:r>
        <w:t xml:space="preserve">Está pendiente de decisión de jefatura el nivel de soporte durante ese período, entre tres opciones: soporte pleno hasta el corte, soporte correctivo mínimo, o ausencia de compromiso formal. La recomendación técnica es</w:t>
      </w:r>
      <w:r>
        <w:t xml:space="preserve"> </w:t>
      </w:r>
      <w:r>
        <w:rPr>
          <w:bCs/>
          <w:b/>
        </w:rPr>
        <w:t xml:space="preserve">soporte correctivo, con compromiso formal y alcance escrito</w:t>
      </w:r>
      <w:r>
        <w:t xml:space="preserve">, y que ese compromiso se documente antes de publicar bases, porque su costo forma parte del costo de la etapa.</w:t>
      </w:r>
    </w:p>
    <w:p>
      <w:pPr>
        <w:pStyle w:val="BodyText"/>
      </w:pPr>
      <w:r>
        <w:t xml:space="preserve">El objetivo original de cinco pilotos con cinco módulos operando en la plataforma actual hacia fines de 2026 queda reemplazado por el de la sección 5.</w:t>
      </w:r>
    </w:p>
    <w:p>
      <w:r>
        <w:pict>
          <v:rect style="width:0;height:1.5pt" o:hralign="center" o:hrstd="t" o:hr="t"/>
        </w:pict>
      </w:r>
    </w:p>
    <w:bookmarkEnd w:id="40"/>
    <w:bookmarkEnd w:id="41"/>
    <w:bookmarkStart w:id="46" w:name="X7f4424539fd6dd10f3e43ecad97d9d42213ca4b"/>
    <w:p>
      <w:pPr>
        <w:pStyle w:val="Heading1"/>
      </w:pPr>
      <w:r>
        <w:t xml:space="preserve">5. Reutilización y resguardo de la inversión</w:t>
      </w:r>
    </w:p>
    <w:bookmarkStart w:id="42" w:name="qué-se-reutiliza"/>
    <w:p>
      <w:pPr>
        <w:pStyle w:val="Heading2"/>
      </w:pPr>
      <w:r>
        <w:t xml:space="preserve">5.1 Qué se reutiliza</w:t>
      </w:r>
    </w:p>
    <w:p>
      <w:pPr>
        <w:pStyle w:val="FirstParagraph"/>
      </w:pPr>
      <w:r>
        <w:t xml:space="preserve">El cambio de plataforma no descarta la inversión: la traslada como especificación y requisito —qué debe hacer el sistema— y no como arquitectura de implementación.</w:t>
      </w:r>
    </w:p>
    <w:p>
      <w:pPr>
        <w:numPr>
          <w:ilvl w:val="0"/>
          <w:numId w:val="1003"/>
        </w:numPr>
        <w:pStyle w:val="Compact"/>
      </w:pPr>
      <w:r>
        <w:rPr>
          <w:bCs/>
          <w:b/>
        </w:rPr>
        <w:t xml:space="preserve">Los 42 procesos levantados y sus mapas</w:t>
      </w:r>
      <w:r>
        <w:t xml:space="preserve">, independientes de la herramienta de implementación.</w:t>
      </w:r>
    </w:p>
    <w:p>
      <w:pPr>
        <w:numPr>
          <w:ilvl w:val="0"/>
          <w:numId w:val="1003"/>
        </w:numPr>
        <w:pStyle w:val="Compact"/>
      </w:pPr>
      <w:r>
        <w:rPr>
          <w:bCs/>
          <w:b/>
        </w:rPr>
        <w:t xml:space="preserve">El modelo de datos y las relaciones extraídos del código</w:t>
      </w:r>
      <w:r>
        <w:t xml:space="preserve">, rediseñados: expediente de compra unificado, modalidades de compra separadas, cadena de compromiso presupuestario, liquidación de remuneraciones, caja como sesión con estados.</w:t>
      </w:r>
    </w:p>
    <w:p>
      <w:pPr>
        <w:numPr>
          <w:ilvl w:val="0"/>
          <w:numId w:val="1003"/>
        </w:numPr>
        <w:pStyle w:val="Compact"/>
      </w:pPr>
      <w:r>
        <w:rPr>
          <w:bCs/>
          <w:b/>
        </w:rPr>
        <w:t xml:space="preserve">Los 188 hallazgos del control de calidad interno</w:t>
      </w:r>
      <w:r>
        <w:t xml:space="preserve">, traducidos de «error a corregir» a «requisito que el sistema nuevo debe cumplir y contra el cual se recibe», con su severidad, su categoría y —en 67 de ellos— la cláusula contractual que los respalda. Los 53 hallazgos invalidantes constituyen el primer conjunto de casos de prueba de recepción.</w:t>
      </w:r>
    </w:p>
    <w:p>
      <w:pPr>
        <w:numPr>
          <w:ilvl w:val="0"/>
          <w:numId w:val="1003"/>
        </w:numPr>
        <w:pStyle w:val="Compact"/>
      </w:pPr>
      <w:r>
        <w:rPr>
          <w:bCs/>
          <w:b/>
        </w:rPr>
        <w:t xml:space="preserve">Las capacidades verificadas del sistema actual</w:t>
      </w:r>
      <w:r>
        <w:t xml:space="preserve"> </w:t>
      </w:r>
      <w:r>
        <w:t xml:space="preserve">—equilibrio presupuestario, decreto de pago con asiento, escala remuneratoria, recepción desde SEM como semántica de ingreso externo— como requisitos candidatos, contrastados contra la norma y el levantamiento.</w:t>
      </w:r>
    </w:p>
    <w:p>
      <w:pPr>
        <w:numPr>
          <w:ilvl w:val="0"/>
          <w:numId w:val="1003"/>
        </w:numPr>
        <w:pStyle w:val="Compact"/>
      </w:pPr>
      <w:r>
        <w:rPr>
          <w:bCs/>
          <w:b/>
        </w:rPr>
        <w:t xml:space="preserve">El método de especificación ya aplicado en Adquisiciones</w:t>
      </w:r>
      <w:r>
        <w:t xml:space="preserve">: fichas de proceso, entidades, contratos de intercambio entre módulos, bocetos de pantalla y parámetros normativos configurables con vigencia temporal.</w:t>
      </w:r>
    </w:p>
    <w:p>
      <w:pPr>
        <w:numPr>
          <w:ilvl w:val="0"/>
          <w:numId w:val="1003"/>
        </w:numPr>
        <w:pStyle w:val="Compact"/>
      </w:pPr>
      <w:r>
        <w:rPr>
          <w:bCs/>
          <w:b/>
        </w:rPr>
        <w:t xml:space="preserve">La relación con los municipios</w:t>
      </w:r>
      <w:r>
        <w:t xml:space="preserve">: funcionarios capacitados, cinco municipalidades con experiencia de operación y observaciones documentadas.</w:t>
      </w:r>
    </w:p>
    <w:p>
      <w:pPr>
        <w:numPr>
          <w:ilvl w:val="0"/>
          <w:numId w:val="1003"/>
        </w:numPr>
        <w:pStyle w:val="Compact"/>
      </w:pPr>
      <w:r>
        <w:rPr>
          <w:bCs/>
          <w:b/>
        </w:rPr>
        <w:t xml:space="preserve">Los datos cargados</w:t>
      </w:r>
      <w:r>
        <w:t xml:space="preserve">, que se traspasan por etapas comenzando por datos maestros, Adquisiciones y Presupuestos.</w:t>
      </w:r>
    </w:p>
    <w:p>
      <w:pPr>
        <w:numPr>
          <w:ilvl w:val="0"/>
          <w:numId w:val="1003"/>
        </w:numPr>
        <w:pStyle w:val="Compact"/>
      </w:pPr>
      <w:r>
        <w:rPr>
          <w:bCs/>
          <w:b/>
        </w:rPr>
        <w:t xml:space="preserve">Las lecciones de seguridad convertidas en exigencias de recepción</w:t>
      </w:r>
      <w:r>
        <w:t xml:space="preserve">, entre ellas que ningún canal de integración con efecto sobre recaudación o pagos municipales opere sin autenticación —hallazgo identificado en el canal de recepción desde SEM— y que no queden secretos en registros de sistema.</w:t>
      </w:r>
    </w:p>
    <w:p>
      <w:pPr>
        <w:numPr>
          <w:ilvl w:val="0"/>
          <w:numId w:val="1003"/>
        </w:numPr>
        <w:pStyle w:val="Compact"/>
      </w:pPr>
      <w:r>
        <w:rPr>
          <w:bCs/>
          <w:b/>
        </w:rPr>
        <w:t xml:space="preserve">La lección de recepción</w:t>
      </w:r>
      <w:r>
        <w:t xml:space="preserve">: efectos comprobables por interfaz en lugar de conformidad documental.</w:t>
      </w:r>
    </w:p>
    <w:bookmarkEnd w:id="42"/>
    <w:bookmarkStart w:id="43" w:name="qué-no-se-reutiliza"/>
    <w:p>
      <w:pPr>
        <w:pStyle w:val="Heading2"/>
      </w:pPr>
      <w:r>
        <w:t xml:space="preserve">5.2 Qué no se reutiliza</w:t>
      </w:r>
    </w:p>
    <w:p>
      <w:pPr>
        <w:pStyle w:val="FirstParagraph"/>
      </w:pPr>
      <w:r>
        <w:t xml:space="preserve">La forma interna de almacenamiento de la plataforma actual como contrato hacia terceros; el formulario único para las cuatro modalidades y la resolución de compra; las firmas como marcas en pantalla sin efecto jurídico; y el patrón de canal externo sin autenticación.</w:t>
      </w:r>
    </w:p>
    <w:bookmarkEnd w:id="43"/>
    <w:bookmarkStart w:id="44" w:name="Xcc5cee93a77e4947f6363997ccb63ebd2f11f4c"/>
    <w:p>
      <w:pPr>
        <w:pStyle w:val="Heading2"/>
      </w:pPr>
      <w:r>
        <w:t xml:space="preserve">5.3 La titularidad del código, y por qué se exige expresamente en la segunda etapa</w:t>
      </w:r>
    </w:p>
    <w:p>
      <w:pPr>
        <w:pStyle w:val="FirstParagraph"/>
      </w:pPr>
      <w:r>
        <w:t xml:space="preserve">SUBDERE dispone del código fuente completo y del acceso al repositorio de control de versiones, entregados como producto contractual de los Informes 2 y 4.</w:t>
      </w:r>
    </w:p>
    <w:p>
      <w:pPr>
        <w:pStyle w:val="BodyText"/>
      </w:pPr>
      <w:r>
        <w:t xml:space="preserve">Sobre la</w:t>
      </w:r>
      <w:r>
        <w:t xml:space="preserve"> </w:t>
      </w:r>
      <w:r>
        <w:rPr>
          <w:bCs/>
          <w:b/>
        </w:rPr>
        <w:t xml:space="preserve">titularidad de los derechos</w:t>
      </w:r>
      <w:r>
        <w:t xml:space="preserve"> </w:t>
      </w:r>
      <w:r>
        <w:t xml:space="preserve">corresponde ser preciso, porque no está en el instrumento que se firmó sino en el que lo rige.</w:t>
      </w:r>
    </w:p>
    <w:p>
      <w:pPr>
        <w:pStyle w:val="BodyText"/>
      </w:pPr>
      <w:r>
        <w:t xml:space="preserve">Ni la Intención de Compra ni el Acuerdo Complementario contienen cláusula de propiedad intelectual sobre el software desarrollado. Sí establecen confidencialidad durante la vigencia del contrato y por cinco años posteriores, y la prohibición de que la contratista utilice la documentación y los antecedentes conocidos con ocasión del contrato para finalidades ajenas a su ejecución.</w:t>
      </w:r>
    </w:p>
    <w:p>
      <w:pPr>
        <w:pStyle w:val="BodyText"/>
      </w:pPr>
      <w:r>
        <w:t xml:space="preserve">El régimen aplicable proviene de las bases del Convenio Marco ID 2239-19-LR23, en dos disposiciones:</w:t>
      </w:r>
    </w:p>
    <w:p>
      <w:pPr>
        <w:numPr>
          <w:ilvl w:val="0"/>
          <w:numId w:val="1004"/>
        </w:numPr>
      </w:pPr>
      <w:r>
        <w:t xml:space="preserve">La</w:t>
      </w:r>
      <w:r>
        <w:t xml:space="preserve"> </w:t>
      </w:r>
      <w:r>
        <w:rPr>
          <w:bCs/>
          <w:b/>
        </w:rPr>
        <w:t xml:space="preserve">cláusula 9.2.4, «Propiedad de la información»</w:t>
      </w:r>
      <w:r>
        <w:t xml:space="preserve">, radica en la entidad licitante la titularidad de «todos los datos de transacciones, bitácoras (logs), parámetros, documentos electrónicos y archivos adjuntos y, en general, de las bases de datos y de toda información contenida en la infraestructura física y tecnológica que le suministre el proveedor contratado y que se generen en virtud de la ejecución de los servicios».</w:t>
      </w:r>
    </w:p>
    <w:p>
      <w:pPr>
        <w:numPr>
          <w:ilvl w:val="0"/>
          <w:numId w:val="1004"/>
        </w:numPr>
      </w:pPr>
      <w:r>
        <w:t xml:space="preserve">Las</w:t>
      </w:r>
      <w:r>
        <w:t xml:space="preserve"> </w:t>
      </w:r>
      <w:r>
        <w:rPr>
          <w:bCs/>
          <w:b/>
        </w:rPr>
        <w:t xml:space="preserve">respuestas al foro de la licitación, aprobadas por Resolución Exenta N° 0070-B de 20 de febrero de 2024</w:t>
      </w:r>
      <w:r>
        <w:t xml:space="preserve">, responden la consulta N° 628 —«La propiedad intelectual de las soluciones tecnológicas, desarrollos o integraciones son del proponente?»— en los siguientes términos:</w:t>
      </w:r>
      <w:r>
        <w:t xml:space="preserve"> </w:t>
      </w:r>
      <w:r>
        <w:rPr>
          <w:bCs/>
          <w:b/>
        </w:rPr>
        <w:t xml:space="preserve">«De la entidad compradora (cesión completa de derecho)»</w:t>
      </w:r>
      <w:r>
        <w:t xml:space="preserve">.</w:t>
      </w:r>
    </w:p>
    <w:p>
      <w:pPr>
        <w:pStyle w:val="FirstParagraph"/>
      </w:pPr>
      <w:r>
        <w:t xml:space="preserve">Esa respuesta no es un pronunciamiento informal. La propia Resolución N° 0070-B declara que «estas respuestas forman parte integral de las bases», y la cláusula 10.1 de las bases fija el orden de prelación del convenio marco situando «las bases de licitación, sus anexos, aclaraciones, respuestas y modificaciones» inmediatamente después de la Ley N° 19.886 y su reglamento, es decir por sobre las ofertas adjudicadas, el convenio marco suscrito y las órdenes de compra.</w:t>
      </w:r>
    </w:p>
    <w:p>
      <w:pPr>
        <w:pStyle w:val="BodyText"/>
      </w:pPr>
      <w:r>
        <w:t xml:space="preserve">En consecuencia,</w:t>
      </w:r>
      <w:r>
        <w:t xml:space="preserve"> </w:t>
      </w:r>
      <w:r>
        <w:rPr>
          <w:bCs/>
          <w:b/>
        </w:rPr>
        <w:t xml:space="preserve">la propiedad intelectual de los desarrollos efectuados en el ciclo 2024–2025 corresponde a SUBDERE como entidad compradora, con cesión completa de derecho</w:t>
      </w:r>
      <w:r>
        <w:t xml:space="preserve">, y el código fuente y el repositorio ya obran en su poder.</w:t>
      </w:r>
    </w:p>
    <w:p>
      <w:pPr>
        <w:pStyle w:val="BlockText"/>
      </w:pPr>
      <w:r>
        <w:rPr>
          <w:iCs/>
          <w:i/>
        </w:rPr>
        <w:t xml:space="preserve">[Por completar antes del envío: pronunciamiento de la unidad jurídica que confirme el alcance de esta conclusión. Se hace presente que la consulta N° 819 del mismo foro, sobre el manejo de la propiedad intelectual en desarrollos de software personalizado, se remite a la respuesta N° 543, según la cual los requerimientos técnicos específicos de cada proyecto los define el organismo comprador en su solicitud de cotización.]</w:t>
      </w:r>
    </w:p>
    <w:p>
      <w:pPr>
        <w:pStyle w:val="FirstParagraph"/>
      </w:pPr>
      <w:r>
        <w:t xml:space="preserve">Lo que la experiencia aconseja corregir no es, por lo tanto, la titularidad, sino su ubicación: un derecho que existe en las respuestas a un foro de un convenio marco es menos operativo que uno escrito en el contrato que se firma. Por eso la segunda etapa incorpora como condición no negociable de las bases propias la</w:t>
      </w:r>
      <w:r>
        <w:t xml:space="preserve"> </w:t>
      </w:r>
      <w:r>
        <w:rPr>
          <w:bCs/>
          <w:b/>
        </w:rPr>
        <w:t xml:space="preserve">propiedad estatal del código desarrollado</w:t>
      </w:r>
      <w:r>
        <w:t xml:space="preserve">, con cláusula expresa de cesión de derechos, entrega de código fuente y documentación como producto, licenciamiento abierto de los componentes y obligaciones de portabilidad.</w:t>
      </w:r>
    </w:p>
    <w:bookmarkEnd w:id="44"/>
    <w:bookmarkStart w:id="45" w:name="cómo-se-resguarda-la-inversión"/>
    <w:p>
      <w:pPr>
        <w:pStyle w:val="Heading2"/>
      </w:pPr>
      <w:r>
        <w:t xml:space="preserve">5.4 Cómo se resguarda la inversión</w:t>
      </w:r>
    </w:p>
    <w:p>
      <w:pPr>
        <w:pStyle w:val="FirstParagraph"/>
      </w:pPr>
      <w:r>
        <w:t xml:space="preserve">El activo que sobrevive al cambio de plataforma es el conocimiento de dominio ya financiado por el Estado: qué procesos ejecuta un municipio, qué efectos debe producir cada uno, qué norma los rige y cómo se verifican. Ese activo está documentado y bajo custodia de SUBDERE, y no depende de la tecnología de implementación.</w:t>
      </w:r>
    </w:p>
    <w:p>
      <w:pPr>
        <w:pStyle w:val="BodyText"/>
      </w:pPr>
      <w:r>
        <w:t xml:space="preserve">La vara de calidad con la que se mide ese resguardo es concreta y comprobable:</w:t>
      </w:r>
      <w:r>
        <w:t xml:space="preserve"> </w:t>
      </w:r>
      <w:r>
        <w:rPr>
          <w:bCs/>
          <w:b/>
        </w:rPr>
        <w:t xml:space="preserve">que dos equipos independientes puedan construir sistemas funcionalmente equivalentes leyendo únicamente esa especificación.</w:t>
      </w:r>
      <w:r>
        <w:t xml:space="preserve"> </w:t>
      </w:r>
      <w:r>
        <w:t xml:space="preserve">Si la especificación no alcanza ese estándar, el resguardo es nominal; si lo alcanza, lo invertido en levantamiento, piloto, auditoría y contraste con código se convierte en el insumo de las bases y en el estándar contra el cual se recibe al adjudicatario.</w:t>
      </w:r>
    </w:p>
    <w:p>
      <w:r>
        <w:pict>
          <v:rect style="width:0;height:1.5pt" o:hralign="center" o:hrstd="t" o:hr="t"/>
        </w:pict>
      </w:r>
    </w:p>
    <w:bookmarkEnd w:id="45"/>
    <w:bookmarkEnd w:id="46"/>
    <w:bookmarkStart w:id="50" w:name="objetivos-y-ruta-de-la-segunda-etapa"/>
    <w:p>
      <w:pPr>
        <w:pStyle w:val="Heading1"/>
      </w:pPr>
      <w:r>
        <w:t xml:space="preserve">6. Objetivos y ruta de la segunda etapa</w:t>
      </w:r>
    </w:p>
    <w:bookmarkStart w:id="47" w:name="objetivos"/>
    <w:p>
      <w:pPr>
        <w:pStyle w:val="Heading2"/>
      </w:pPr>
      <w:r>
        <w:t xml:space="preserve">6.1 Objetivos</w:t>
      </w:r>
    </w:p>
    <w:p>
      <w:pPr>
        <w:numPr>
          <w:ilvl w:val="0"/>
          <w:numId w:val="1005"/>
        </w:numPr>
        <w:pStyle w:val="Compact"/>
      </w:pPr>
      <w:r>
        <w:rPr>
          <w:bCs/>
          <w:b/>
        </w:rPr>
        <w:t xml:space="preserve">Cerrar el ciclo financiero de punta a punta.</w:t>
      </w:r>
      <w:r>
        <w:t xml:space="preserve"> </w:t>
      </w:r>
      <w:r>
        <w:t xml:space="preserve">Que un hecho de negocio produzca todos sus efectos: que una recepción conforme comprometa presupuesto y genere el asiento contable, y que un decreto de pago suspendido suspenda el pago.</w:t>
      </w:r>
    </w:p>
    <w:p>
      <w:pPr>
        <w:numPr>
          <w:ilvl w:val="0"/>
          <w:numId w:val="1005"/>
        </w:numPr>
        <w:pStyle w:val="Compact"/>
      </w:pPr>
      <w:r>
        <w:rPr>
          <w:bCs/>
          <w:b/>
        </w:rPr>
        <w:t xml:space="preserve">Publicar un estándar municipal de propiedad del Estado</w:t>
      </w:r>
      <w:r>
        <w:t xml:space="preserve">: modelo común de datos, contratos entre módulos, efectos verificables, máquinas de estado y validadores con fundamento normativo.</w:t>
      </w:r>
    </w:p>
    <w:p>
      <w:pPr>
        <w:numPr>
          <w:ilvl w:val="0"/>
          <w:numId w:val="1005"/>
        </w:numPr>
        <w:pStyle w:val="Compact"/>
      </w:pPr>
      <w:r>
        <w:rPr>
          <w:bCs/>
          <w:b/>
        </w:rPr>
        <w:t xml:space="preserve">Habilitar la independencia de módulos</w:t>
      </w:r>
      <w:r>
        <w:t xml:space="preserve">, de modo que un municipio con sistemas propios pueda adoptar solo aquellos que le convengan y conectar el resto.</w:t>
      </w:r>
    </w:p>
    <w:p>
      <w:pPr>
        <w:numPr>
          <w:ilvl w:val="0"/>
          <w:numId w:val="1005"/>
        </w:numPr>
        <w:pStyle w:val="Compact"/>
      </w:pPr>
      <w:r>
        <w:rPr>
          <w:bCs/>
          <w:b/>
        </w:rPr>
        <w:t xml:space="preserve">Incorporar las integraciones con el Estado</w:t>
      </w:r>
      <w:r>
        <w:t xml:space="preserve"> </w:t>
      </w:r>
      <w:r>
        <w:t xml:space="preserve">que hoy obligan al municipio a rehacer manualmente la misma información para varios destinos.</w:t>
      </w:r>
    </w:p>
    <w:p>
      <w:pPr>
        <w:numPr>
          <w:ilvl w:val="0"/>
          <w:numId w:val="1005"/>
        </w:numPr>
        <w:pStyle w:val="Compact"/>
      </w:pPr>
      <w:r>
        <w:rPr>
          <w:bCs/>
          <w:b/>
        </w:rPr>
        <w:t xml:space="preserve">Garantizar la portabilidad</w:t>
      </w:r>
      <w:r>
        <w:t xml:space="preserve"> </w:t>
      </w:r>
      <w:r>
        <w:t xml:space="preserve">como operación permanente del catálogo, invocable por el municipio, sin costo y con nivel de servicio declarado.</w:t>
      </w:r>
    </w:p>
    <w:p>
      <w:pPr>
        <w:numPr>
          <w:ilvl w:val="0"/>
          <w:numId w:val="1005"/>
        </w:numPr>
        <w:pStyle w:val="Compact"/>
      </w:pPr>
      <w:r>
        <w:rPr>
          <w:bCs/>
          <w:b/>
        </w:rPr>
        <w:t xml:space="preserve">Mantener la gratuidad y la disponibilidad</w:t>
      </w:r>
      <w:r>
        <w:t xml:space="preserve"> </w:t>
      </w:r>
      <w:r>
        <w:t xml:space="preserve">del servicio para toda municipalidad que lo requiera.</w:t>
      </w:r>
    </w:p>
    <w:bookmarkEnd w:id="47"/>
    <w:bookmarkStart w:id="48" w:name="ruta-de-implementación"/>
    <w:p>
      <w:pPr>
        <w:pStyle w:val="Heading2"/>
      </w:pPr>
      <w:r>
        <w:t xml:space="preserve">6.2 Ruta de implementación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Hito</w:t>
            </w:r>
          </w:p>
        </w:tc>
        <w:tc>
          <w:tcPr/>
          <w:p>
            <w:pPr>
              <w:pStyle w:val="Compact"/>
              <w:jc w:val="left"/>
            </w:pPr>
            <w:r>
              <w:t xml:space="preserve">Contenido</w:t>
            </w:r>
          </w:p>
        </w:tc>
        <w:tc>
          <w:tcPr/>
          <w:p>
            <w:pPr>
              <w:pStyle w:val="Compact"/>
              <w:jc w:val="left"/>
            </w:pPr>
            <w:r>
              <w:t xml:space="preserve">Referencia temporal</w:t>
            </w:r>
          </w:p>
        </w:tc>
      </w:tr>
      <w:tr>
        <w:tc>
          <w:tcPr/>
          <w:p>
            <w:pPr>
              <w:pStyle w:val="Compact"/>
              <w:jc w:val="left"/>
            </w:pPr>
            <w:r>
              <w:rPr>
                <w:bCs/>
                <w:b/>
              </w:rPr>
              <w:t xml:space="preserve">0. Decisiones previas</w:t>
            </w:r>
          </w:p>
        </w:tc>
        <w:tc>
          <w:tcPr/>
          <w:p>
            <w:pPr>
              <w:pStyle w:val="Compact"/>
              <w:jc w:val="left"/>
            </w:pPr>
            <w:r>
              <w:t xml:space="preserve">Vía de contratación; nivel de soporte a los municipios en transición; dotación de contraparte técnica</w:t>
            </w:r>
          </w:p>
        </w:tc>
        <w:tc>
          <w:tcPr/>
          <w:p>
            <w:pPr>
              <w:pStyle w:val="Compact"/>
              <w:jc w:val="left"/>
            </w:pPr>
            <w:r>
              <w:t xml:space="preserve">Antes de noviembre de 2026</w:t>
            </w:r>
          </w:p>
        </w:tc>
      </w:tr>
      <w:tr>
        <w:tc>
          <w:tcPr/>
          <w:p>
            <w:pPr>
              <w:pStyle w:val="Compact"/>
              <w:jc w:val="left"/>
            </w:pPr>
            <w:r>
              <w:rPr>
                <w:bCs/>
                <w:b/>
              </w:rPr>
              <w:t xml:space="preserve">1. Consolidación del estándar</w:t>
            </w:r>
          </w:p>
        </w:tc>
        <w:tc>
          <w:tcPr/>
          <w:p>
            <w:pPr>
              <w:pStyle w:val="Compact"/>
              <w:jc w:val="left"/>
            </w:pPr>
            <w:r>
              <w:t xml:space="preserve">Modelo común, contratos entre módulos, efectos verificables, exportar e importar. Escrito por SUBDERE</w:t>
            </w:r>
          </w:p>
        </w:tc>
        <w:tc>
          <w:tcPr/>
          <w:p>
            <w:pPr>
              <w:pStyle w:val="Compact"/>
              <w:jc w:val="left"/>
            </w:pPr>
            <w:r>
              <w:t xml:space="preserve">Noviembre de 2026 en adelante</w:t>
            </w:r>
          </w:p>
        </w:tc>
      </w:tr>
      <w:tr>
        <w:tc>
          <w:tcPr/>
          <w:p>
            <w:pPr>
              <w:pStyle w:val="Compact"/>
              <w:jc w:val="left"/>
            </w:pPr>
            <w:r>
              <w:rPr>
                <w:bCs/>
                <w:b/>
              </w:rPr>
              <w:t xml:space="preserve">2. Consulta al mercado (RFI)</w:t>
            </w:r>
          </w:p>
        </w:tc>
        <w:tc>
          <w:tcPr/>
          <w:p>
            <w:pPr>
              <w:pStyle w:val="Compact"/>
              <w:jc w:val="left"/>
            </w:pPr>
            <w:r>
              <w:t xml:space="preserve">Convocatoria pública con el borrador de estándar en mano; obtención de precios y plazos fundados</w:t>
            </w:r>
          </w:p>
        </w:tc>
        <w:tc>
          <w:tcPr/>
          <w:p>
            <w:pPr>
              <w:pStyle w:val="Compact"/>
              <w:jc w:val="left"/>
            </w:pPr>
            <w:r>
              <w:t xml:space="preserve">Tras el hito 1</w:t>
            </w:r>
          </w:p>
        </w:tc>
      </w:tr>
      <w:tr>
        <w:tc>
          <w:tcPr/>
          <w:p>
            <w:pPr>
              <w:pStyle w:val="Compact"/>
              <w:jc w:val="left"/>
            </w:pPr>
            <w:r>
              <w:rPr>
                <w:bCs/>
                <w:b/>
              </w:rPr>
              <w:t xml:space="preserve">3. Publicación de bases y proceso de compra</w:t>
            </w:r>
          </w:p>
        </w:tc>
        <w:tc>
          <w:tcPr/>
          <w:p>
            <w:pPr>
              <w:pStyle w:val="Compact"/>
              <w:jc w:val="left"/>
            </w:pPr>
            <w:r>
              <w:t xml:space="preserve">Bases con criterio de recepción por efectos, conformidad y propiedad del código</w:t>
            </w:r>
          </w:p>
        </w:tc>
        <w:tc>
          <w:tcPr/>
          <w:p>
            <w:pPr>
              <w:pStyle w:val="Compact"/>
              <w:jc w:val="left"/>
            </w:pPr>
            <w:r>
              <w:t xml:space="preserve">Según la vía adoptada en el hito 0</w:t>
            </w:r>
          </w:p>
        </w:tc>
      </w:tr>
      <w:tr>
        <w:tc>
          <w:tcPr/>
          <w:p>
            <w:pPr>
              <w:pStyle w:val="Compact"/>
              <w:jc w:val="left"/>
            </w:pPr>
            <w:r>
              <w:rPr>
                <w:bCs/>
                <w:b/>
              </w:rPr>
              <w:t xml:space="preserve">4. Construcción, etapa 1</w:t>
            </w:r>
          </w:p>
        </w:tc>
        <w:tc>
          <w:tcPr/>
          <w:p>
            <w:pPr>
              <w:pStyle w:val="Compact"/>
              <w:jc w:val="left"/>
            </w:pPr>
            <w:r>
              <w:t xml:space="preserve">Adquisiciones, Presupuestos y ciclo financiero (Contabilidad y Tesorería)</w:t>
            </w:r>
          </w:p>
        </w:tc>
        <w:tc>
          <w:tcPr/>
          <w:p>
            <w:pPr>
              <w:pStyle w:val="Compact"/>
              <w:jc w:val="left"/>
            </w:pPr>
            <w:r>
              <w:t xml:space="preserve">Según oferta adjudicada</w:t>
            </w:r>
          </w:p>
        </w:tc>
      </w:tr>
      <w:tr>
        <w:tc>
          <w:tcPr/>
          <w:p>
            <w:pPr>
              <w:pStyle w:val="Compact"/>
              <w:jc w:val="left"/>
            </w:pPr>
            <w:r>
              <w:rPr>
                <w:bCs/>
                <w:b/>
              </w:rPr>
              <w:t xml:space="preserve">5. Construcción, etapa 2</w:t>
            </w:r>
          </w:p>
        </w:tc>
        <w:tc>
          <w:tcPr/>
          <w:p>
            <w:pPr>
              <w:pStyle w:val="Compact"/>
              <w:jc w:val="left"/>
            </w:pPr>
            <w:r>
              <w:t xml:space="preserve">Personal y Remuneraciones y módulos restantes</w:t>
            </w:r>
          </w:p>
        </w:tc>
        <w:tc>
          <w:tcPr/>
          <w:p>
            <w:pPr>
              <w:pStyle w:val="Compact"/>
              <w:jc w:val="left"/>
            </w:pPr>
            <w:r>
              <w:t xml:space="preserve">Según oferta adjudicada</w:t>
            </w:r>
          </w:p>
        </w:tc>
      </w:tr>
      <w:tr>
        <w:tc>
          <w:tcPr/>
          <w:p>
            <w:pPr>
              <w:pStyle w:val="Compact"/>
              <w:jc w:val="left"/>
            </w:pPr>
            <w:r>
              <w:rPr>
                <w:bCs/>
                <w:b/>
              </w:rPr>
              <w:t xml:space="preserve">6. Transición de los municipios</w:t>
            </w:r>
          </w:p>
        </w:tc>
        <w:tc>
          <w:tcPr/>
          <w:p>
            <w:pPr>
              <w:pStyle w:val="Compact"/>
              <w:jc w:val="left"/>
            </w:pPr>
            <w:r>
              <w:t xml:space="preserve">Módulo a módulo, con migración de datos y capacitación previa, partiendo por los municipios de la marcha blanca</w:t>
            </w:r>
          </w:p>
        </w:tc>
        <w:tc>
          <w:tcPr/>
          <w:p>
            <w:pPr>
              <w:pStyle w:val="Compact"/>
              <w:jc w:val="left"/>
            </w:pPr>
            <w:r>
              <w:t xml:space="preserve">En paralelo a los hitos 4 y 5</w:t>
            </w:r>
          </w:p>
        </w:tc>
      </w:tr>
    </w:tbl>
    <w:p>
      <w:pPr>
        <w:pStyle w:val="BodyText"/>
      </w:pPr>
      <w:r>
        <w:t xml:space="preserve">Las fechas de los hitos 3 a 6 se fijarán una vez conocido el resultado de la consulta al mercado. Consignarlas antes sería una estimación sin fundamento. Lo que sí está determinado es la secuencia:</w:t>
      </w:r>
      <w:r>
        <w:t xml:space="preserve"> </w:t>
      </w:r>
      <w:r>
        <w:rPr>
          <w:bCs/>
          <w:b/>
        </w:rPr>
        <w:t xml:space="preserve">la especificación se cierra antes de contratar</w:t>
      </w:r>
      <w:r>
        <w:t xml:space="preserve">, porque especificar de menos no transfiere el riesgo al proveedor, lo devuelve al Estado: sin especificación las ofertas dejan de ser comparables, la evaluación colapsa en precio, y no se puede escribir un criterio de recepción y, por lo tanto, tampoco rechazar.</w:t>
      </w:r>
    </w:p>
    <w:bookmarkEnd w:id="48"/>
    <w:bookmarkStart w:id="49" w:name="X02dbd279feb8a34c50d8d633acd411d959373a4"/>
    <w:p>
      <w:pPr>
        <w:pStyle w:val="Heading2"/>
      </w:pPr>
      <w:r>
        <w:t xml:space="preserve">6.3 Qué debe resolverse antes de publicar bases</w:t>
      </w:r>
    </w:p>
    <w:p>
      <w:pPr>
        <w:numPr>
          <w:ilvl w:val="0"/>
          <w:numId w:val="1006"/>
        </w:numPr>
        <w:pStyle w:val="Compact"/>
      </w:pPr>
      <w:r>
        <w:t xml:space="preserve">La consolidación de la especificación entre módulos y los efectos que cada uno produce.</w:t>
      </w:r>
    </w:p>
    <w:p>
      <w:pPr>
        <w:numPr>
          <w:ilvl w:val="0"/>
          <w:numId w:val="1006"/>
        </w:numPr>
        <w:pStyle w:val="Compact"/>
      </w:pPr>
      <w:r>
        <w:t xml:space="preserve">La verificación del estado y las condiciones de conexión con DocDigital, SIAPER y Mercado Público.</w:t>
      </w:r>
    </w:p>
    <w:p>
      <w:pPr>
        <w:numPr>
          <w:ilvl w:val="0"/>
          <w:numId w:val="1006"/>
        </w:numPr>
        <w:pStyle w:val="Compact"/>
      </w:pPr>
      <w:r>
        <w:t xml:space="preserve">El mecanismo que impide que un hecho de negocio quede con efectos a medias entre módulos.</w:t>
      </w:r>
    </w:p>
    <w:p>
      <w:pPr>
        <w:numPr>
          <w:ilvl w:val="0"/>
          <w:numId w:val="1006"/>
        </w:numPr>
        <w:pStyle w:val="Compact"/>
      </w:pPr>
      <w:r>
        <w:t xml:space="preserve">El alcance de inventario y activo fijo en la primera versión.</w:t>
      </w:r>
    </w:p>
    <w:p>
      <w:pPr>
        <w:numPr>
          <w:ilvl w:val="0"/>
          <w:numId w:val="1006"/>
        </w:numPr>
        <w:pStyle w:val="Compact"/>
      </w:pPr>
      <w:r>
        <w:t xml:space="preserve">La regla de vigencia de la conformidad: desde qué fecha se exige el nivel de detalle del estándar y qué forma válida toma la información anterior.</w:t>
      </w:r>
    </w:p>
    <w:p>
      <w:r>
        <w:pict>
          <v:rect style="width:0;height:1.5pt" o:hralign="center" o:hrstd="t" o:hr="t"/>
        </w:pict>
      </w:r>
    </w:p>
    <w:bookmarkEnd w:id="49"/>
    <w:bookmarkEnd w:id="50"/>
    <w:bookmarkStart w:id="51" w:name="fecha-de-remisión-de-antecedentes"/>
    <w:p>
      <w:pPr>
        <w:pStyle w:val="Heading1"/>
      </w:pPr>
      <w:r>
        <w:t xml:space="preserve">7. Fecha de remisión de antecedentes</w:t>
      </w:r>
    </w:p>
    <w:p>
      <w:pPr>
        <w:pStyle w:val="FirstParagraph"/>
      </w:pPr>
      <w:r>
        <w:t xml:space="preserve">Se propone remitir el conjunto de antecedentes —este informe, el diagnóstico técnico detallado, la evidencia listada en 2.5 y los documentos contractuales del ciclo anterior— el</w:t>
      </w:r>
      <w:r>
        <w:t xml:space="preserve"> </w:t>
      </w:r>
      <w:r>
        <w:rPr>
          <w:bCs/>
          <w:b/>
        </w:rPr>
        <w:t xml:space="preserve">viernes 9 de octubre de 2026</w:t>
      </w:r>
      <w:r>
        <w:t xml:space="preserve">, para su revisión conjunta antes de adoptar definiciones sobre la segunda etapa.</w:t>
      </w:r>
    </w:p>
    <w:p>
      <w:r>
        <w:pict>
          <v:rect style="width:0;height:1.5pt" o:hralign="center" o:hrstd="t" o:hr="t"/>
        </w:pict>
      </w:r>
    </w:p>
    <w:bookmarkEnd w:id="51"/>
    <w:bookmarkStart w:id="52" w:name="fuentes"/>
    <w:p>
      <w:pPr>
        <w:pStyle w:val="Heading1"/>
      </w:pPr>
      <w:r>
        <w:t xml:space="preserve">Fuentes</w:t>
      </w:r>
    </w:p>
    <w:p>
      <w:pPr>
        <w:numPr>
          <w:ilvl w:val="0"/>
          <w:numId w:val="1007"/>
        </w:numPr>
        <w:pStyle w:val="Compact"/>
      </w:pPr>
      <w:r>
        <w:t xml:space="preserve">Intención de Compra «Desarrollo y Adaptación Sistema Odoo para Nuevo Sistema de Gestión Municipal», Gran Compra ID N° 5802363-3828QOXC, expediente E17873/2024. SUBDERE, octubre de 2024.</w:t>
      </w:r>
    </w:p>
    <w:p>
      <w:pPr>
        <w:numPr>
          <w:ilvl w:val="0"/>
          <w:numId w:val="1007"/>
        </w:numPr>
        <w:pStyle w:val="Compact"/>
      </w:pPr>
      <w:r>
        <w:t xml:space="preserve">Acuerdo Complementario suscrito el 20 de diciembre de 2024, en virtud de la Resolución Exenta N° 12047 de 12 de diciembre de 2024.</w:t>
      </w:r>
    </w:p>
    <w:p>
      <w:pPr>
        <w:numPr>
          <w:ilvl w:val="0"/>
          <w:numId w:val="1007"/>
        </w:numPr>
        <w:pStyle w:val="Compact"/>
      </w:pPr>
      <w:r>
        <w:t xml:space="preserve">Bases de la licitación pública ID N° 2239-19-LR23, «Convenio Marco para la adquisición de Servicios de Desarrollo y Mantención de Software, Servicios Profesionales TI e Infraestructura como Servicio», aprobadas por Resolución Exenta N° 007-B de 8 de enero de 2024, Dirección de Compras y Contratación Pública. Cláusulas 9.2.4 y 10.1.</w:t>
      </w:r>
    </w:p>
    <w:p>
      <w:pPr>
        <w:numPr>
          <w:ilvl w:val="0"/>
          <w:numId w:val="1007"/>
        </w:numPr>
        <w:pStyle w:val="Compact"/>
      </w:pPr>
      <w:r>
        <w:t xml:space="preserve">Resolución Exenta N° 0070-B, de 20 de febrero de 2024, que aprueba las preguntas y respuestas de la licitación ID N° 2239-19-LR23 y declara que forman parte integral de las bases. Consultas N° 628, 819 y 543.</w:t>
      </w:r>
    </w:p>
    <w:p>
      <w:pPr>
        <w:numPr>
          <w:ilvl w:val="0"/>
          <w:numId w:val="1007"/>
        </w:numPr>
        <w:pStyle w:val="Compact"/>
      </w:pPr>
      <w:r>
        <w:t xml:space="preserve">Anexo N° 9, «Formato de contrato tipo Convenio Marco», licitación ID N° 2239-19-LR23.</w:t>
      </w:r>
    </w:p>
    <w:p>
      <w:pPr>
        <w:numPr>
          <w:ilvl w:val="0"/>
          <w:numId w:val="1007"/>
        </w:numPr>
        <w:pStyle w:val="Compact"/>
      </w:pPr>
      <w:r>
        <w:t xml:space="preserve">División de Gobierno Digital.</w:t>
      </w:r>
      <w:r>
        <w:t xml:space="preserve"> </w:t>
      </w:r>
      <w:r>
        <w:rPr>
          <w:iCs/>
          <w:i/>
        </w:rPr>
        <w:t xml:space="preserve">Lineamientos para el desarrollo de software en instituciones públicas</w:t>
      </w:r>
      <w:r>
        <w:t xml:space="preserve">, versión 2.0, mayo de 2021, anexo de la licitación ID N° 2239-19-LR23.</w:t>
      </w:r>
    </w:p>
    <w:p>
      <w:pPr>
        <w:numPr>
          <w:ilvl w:val="0"/>
          <w:numId w:val="1007"/>
        </w:numPr>
        <w:pStyle w:val="Compact"/>
      </w:pPr>
      <w:r>
        <w:t xml:space="preserve">Licitación pública ID N° 2239-2-LR26, nuevo Convenio Marco de Servicios de Desarrollo y Mantención de Software. Cierre de ofertas: 9 de octubre de 2026; adjudicación estimada: 7 de diciembre de 2026.</w:t>
      </w:r>
    </w:p>
    <w:p>
      <w:pPr>
        <w:numPr>
          <w:ilvl w:val="0"/>
          <w:numId w:val="1007"/>
        </w:numPr>
        <w:pStyle w:val="Compact"/>
      </w:pPr>
      <w:r>
        <w:rPr>
          <w:iCs/>
          <w:i/>
        </w:rPr>
        <w:t xml:space="preserve">Informe 4 — Levantamiento de procesos y diseño de servicio SGM</w:t>
      </w:r>
      <w:r>
        <w:t xml:space="preserve">, julio de 2024, y su Anexo N° 12 con 42 procesos municipales levantados en terreno (marzo de 2024).</w:t>
      </w:r>
    </w:p>
    <w:p>
      <w:pPr>
        <w:numPr>
          <w:ilvl w:val="0"/>
          <w:numId w:val="1007"/>
        </w:numPr>
        <w:pStyle w:val="Compact"/>
      </w:pPr>
      <w:r>
        <w:t xml:space="preserve">Control de calidad interno sobre los seis módulos del SGM, 4 de junio a 1 de julio de 2026: 188 hallazgos con severidad, categoría, carácter invalidante y respaldo contractual; estimación de esfuerzo de remediación en el módulo de Adquisiciones.</w:t>
      </w:r>
    </w:p>
    <w:p>
      <w:pPr>
        <w:numPr>
          <w:ilvl w:val="0"/>
          <w:numId w:val="1007"/>
        </w:numPr>
        <w:pStyle w:val="Compact"/>
      </w:pPr>
      <w:r>
        <w:t xml:space="preserve">Auditoría de interfaces de carga y descarga de datos, junio de 2026 (43 interfaces).</w:t>
      </w:r>
    </w:p>
    <w:p>
      <w:pPr>
        <w:numPr>
          <w:ilvl w:val="0"/>
          <w:numId w:val="1007"/>
        </w:numPr>
        <w:pStyle w:val="Compact"/>
      </w:pPr>
      <w:r>
        <w:t xml:space="preserve">Revisión del código del sistema contra el levantamiento de procesos, julio de 2026.</w:t>
      </w:r>
    </w:p>
    <w:p>
      <w:pPr>
        <w:numPr>
          <w:ilvl w:val="0"/>
          <w:numId w:val="1007"/>
        </w:numPr>
        <w:pStyle w:val="Compact"/>
      </w:pPr>
      <w:r>
        <w:t xml:space="preserve">Ley N° 21.180, sobre Transformación Digital del Estado; Ley N° 19.886 de Bases sobre Contratos Administrativos de Suministro y Prestación de Servicios y su Reglamento (D.S. 250), con las modificaciones de la Ley N° 21.634; Ley N° 18.695, Orgánica Constitucional de Municipalidades; Ley N° 18.883, Estatuto Administrativo para Funcionarios Municipales.</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Municipal</dc:title>
  <dc:creator/>
  <dc:language>es-CL</dc:language>
  <cp:keywords/>
  <dcterms:created xsi:type="dcterms:W3CDTF">2026-09-25T21:21:44Z</dcterms:created>
  <dcterms:modified xsi:type="dcterms:W3CDTF">2026-09-25T21:21:44Z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Septiembre de 2026</vt:lpwstr>
  </property>
  <property fmtid="{D5CDD505-2E9C-101B-9397-08002B2CF9AE}" pid="3" name="subtitle">
    <vt:lpwstr>Estado del ciclo 2024–2025, alternativas evaluadas y propuesta de segunda etapa</vt:lpwstr>
  </property>
</Properties>
</file>