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4"/>
          <w:szCs w:val="24"/>
        </w:rPr>
        <w:t xml:space="preserve">Universidad Nacional del Centro del Perú</w:t>
      </w:r>
    </w:p>
    <w:p>
      <w:pPr>
        <w:spacing w:after="0"/>
        <w:jc w:val="center"/>
      </w:pPr>
      <w:r>
        <w:rPr>
          <w:rFonts w:ascii="Calibri" w:cs="Calibri" w:eastAsia="Calibri" w:hAnsi="Calibri"/>
          <w:b/>
          <w:bCs/>
          <w:sz w:val="22"/>
          <w:szCs w:val="22"/>
        </w:rPr>
        <w:t xml:space="preserve">Facultad de Ingeniería de Sistemas</w:t>
      </w:r>
    </w:p>
    <w:p>
      <w:pPr>
        <w:pBdr>
          <w:bottom w:val="single" w:color="1F3864" w:sz="8" w:space="4"/>
        </w:pBdr>
        <w:spacing w:after="200"/>
        <w:jc w:val="center"/>
      </w:pPr>
      <w:r>
        <w:rPr>
          <w:rFonts w:ascii="Calibri" w:cs="Calibri" w:eastAsia="Calibri" w:hAnsi="Calibri"/>
          <w:b/>
          <w:bCs/>
          <w:sz w:val="18"/>
          <w:szCs w:val="18"/>
        </w:rPr>
        <w:t xml:space="preserve">PROGRAMA DE ESTUDIO DE INGENIERÍA DE SISTEMAS</w:t>
      </w:r>
    </w:p>
    <w:p>
      <w:pPr>
        <w:spacing w:after="40"/>
        <w:jc w:val="center"/>
      </w:pPr>
      <w:r>
        <w:rPr>
          <w:rFonts w:ascii="Calibri" w:cs="Calibri" w:eastAsia="Calibri" w:hAnsi="Calibri"/>
          <w:b/>
          <w:bCs/>
          <w:color w:val="1F3864"/>
          <w:sz w:val="28"/>
          <w:szCs w:val="28"/>
        </w:rPr>
        <w:t xml:space="preserve">GUION DE CLASE — SEMANA 1</w:t>
      </w:r>
    </w:p>
    <w:p>
      <w:pPr>
        <w:spacing w:after="200"/>
        <w:jc w:val="center"/>
      </w:pPr>
      <w:r>
        <w:rPr>
          <w:rFonts w:ascii="Calibri" w:cs="Calibri" w:eastAsia="Calibri" w:hAnsi="Calibri"/>
          <w:b/>
          <w:bCs/>
          <w:sz w:val="24"/>
          <w:szCs w:val="24"/>
        </w:rPr>
        <w:t xml:space="preserve">Fundamentos y Entornos de Desarrollo en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Curso</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Tecnologías Emergentes (ISO46B)</w:t>
            </w:r>
          </w:p>
        </w:tc>
      </w:tr>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Semana / Unidad</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Semana 1 — I Unidad</w:t>
            </w:r>
          </w:p>
        </w:tc>
      </w:tr>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Tema</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Fundamentos y entornos de desarrollo en Python</w:t>
            </w:r>
          </w:p>
        </w:tc>
      </w:tr>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Material de apoyo</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Presentación: Professional_Python_Engineering.pptx (15 diapositivas, generada en NotebookLM)</w:t>
            </w:r>
          </w:p>
        </w:tc>
      </w:tr>
      <w:tr>
        <w:tc>
          <w:tcPr>
            <w:tcW w:type="dxa" w:w="3000"/>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sz w:val="18"/>
                <w:szCs w:val="18"/>
              </w:rPr>
              <w:t xml:space="preserve">Duración de este bloque</w:t>
            </w:r>
          </w:p>
        </w:tc>
        <w:tc>
          <w:tcPr>
            <w:tcW w:type="dxa" w:w="6360"/>
            <w:tcMar>
              <w:top w:type="dxa" w:w="80"/>
              <w:left w:type="dxa" w:w="100"/>
              <w:bottom w:type="dxa" w:w="80"/>
              <w:right w:type="dxa" w:w="100"/>
            </w:tcMar>
            <w:vAlign w:val="center"/>
          </w:tcPr>
          <w:p>
            <w:pPr>
              <w:spacing w:after="80" w:before="0"/>
              <w:jc w:val="left"/>
            </w:pPr>
            <w:r>
              <w:rPr>
                <w:rFonts w:ascii="Calibri" w:cs="Calibri" w:eastAsia="Calibri" w:hAnsi="Calibri"/>
                <w:b w:val="false"/>
                <w:bCs w:val="false"/>
                <w:i w:val="false"/>
                <w:iCs w:val="false"/>
                <w:sz w:val="18"/>
                <w:szCs w:val="18"/>
              </w:rPr>
              <w:t xml:space="preserve">1 hora teórica (60 min) — antecede a las 4 horas de laboratorio</w:t>
            </w:r>
          </w:p>
        </w:tc>
      </w:tr>
    </w:tbl>
    <w:p>
      <w:pPr>
        <w:pBdr>
          <w:bottom w:val="single" w:color="1F3864" w:sz="6" w:space="2"/>
        </w:pBdr>
        <w:spacing w:after="150" w:before="320"/>
      </w:pPr>
      <w:r>
        <w:rPr>
          <w:rFonts w:ascii="Calibri" w:cs="Calibri" w:eastAsia="Calibri" w:hAnsi="Calibri"/>
          <w:b/>
          <w:bCs/>
          <w:color w:val="1F3864"/>
          <w:sz w:val="24"/>
          <w:szCs w:val="24"/>
        </w:rPr>
        <w:t xml:space="preserve">Cómo usar este guion</w:t>
      </w:r>
    </w:p>
    <w:p>
      <w:pPr>
        <w:spacing w:after="200" w:before="0"/>
        <w:jc w:val="left"/>
      </w:pPr>
      <w:r>
        <w:rPr>
          <w:rFonts w:ascii="Calibri" w:cs="Calibri" w:eastAsia="Calibri" w:hAnsi="Calibri"/>
          <w:b w:val="false"/>
          <w:bCs w:val="false"/>
          <w:i w:val="false"/>
          <w:iCs w:val="false"/>
          <w:sz w:val="20"/>
          <w:szCs w:val="20"/>
        </w:rPr>
        <w:t xml:space="preserve">Cada bloque corresponde a una diapositiva de la presentación generada. Incluye: el mensaje central que debe transmitirse, el texto sugerido para exponer (adaptable a su estilo), y — cuando aporta — una pregunta o interacción para activar la participación del aula. Los tiempos son orientativos y suman 60 minutos; ajústelos según el ritmo real del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Portada — Fundamentos y Entornos de Desarrollo en Python</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2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Hoy dejamos de escribir 'scripts sueltos' y empezamos a trabajar como ingenieros de software.</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Buenos días. Esta primera semana marca el inicio de Tecnologías Emergentes, y específicamente de la capacidad 'Elabora programas con Python y sus librerías'. Antes de tocar redes neuronales, chatbots o robótica —que veremos en las próximas semanas— necesitamos un cimiento sólido: saber configurar un entorno de trabajo profesional. La diferencia entre un aficionado y un ingeniero de software no está en saber más sintaxis de Python, sino en cómo organiza su entorno, su código y su historial de cambios. Eso es exactamente lo que construiremos hoy, tanto en esta hora de teoría como en las cuatro horas de laboratorio que siguen.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90"/>
              <w:left w:type="dxa" w:w="140"/>
              <w:bottom w:type="dxa" w:w="90"/>
              <w:right w:type="dxa" w:w="140"/>
            </w:tcMar>
          </w:tcPr>
          <w:p>
            <w:r>
              <w:rPr>
                <w:rFonts w:ascii="Calibri" w:cs="Calibri" w:eastAsia="Calibri" w:hAnsi="Calibri"/>
                <w:b/>
                <w:bCs/>
                <w:sz w:val="18"/>
                <w:szCs w:val="18"/>
              </w:rPr>
              <w:t xml:space="preserve">Pregunta para el aula:  </w:t>
            </w:r>
            <w:r>
              <w:rPr>
                <w:rFonts w:ascii="Calibri" w:cs="Calibri" w:eastAsia="Calibri" w:hAnsi="Calibri"/>
                <w:i/>
                <w:iCs/>
                <w:sz w:val="18"/>
                <w:szCs w:val="18"/>
              </w:rPr>
              <w:t xml:space="preserve">¿Alguna vez han tenido un programa que funcionaba perfecto en su laptop, pero fallaba en la de un compañero o en la máquina del laboratorio? Guarden la respuesta — volveremos a esto en la siguiente diapositiva.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2</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El problema (Dependency Hell) y el antídoto (Aislamiento)</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Instalar librerías de forma global genera conflictos entre proyectos; aislar cada proyecto en su propio entorno los elimina.</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Miren el panel izquierdo: el Proyecto A necesita la versión 1.0 de una librería, pero el Proyecto B la actualiza a la versión 2.0 de forma global. Resultado: el Proyecto A se rompe con un error de dependencia incompatible. A esto se le llama 'dependency hell', y es un problema real que afecta incluso a equipos profesionales. Piensen en un taller mecánico de la Av. Huancavelica donde todos los mecánicos comparten una sola caja de herramientas: si uno cambia una llave por una de otra medida para el carro que está arreglando, el siguiente mecánico que la necesite en su medida original ya no la encuentra. Eso es exactamente lo que ocurre cuando instalamos todo en el Python global de la máquina. La solución, en el panel derecho, es el aislamiento: cada proyecto tiene su propia 'caja de herramientas' —su entorno virtual— con las versiones exactas que necesita, sin interferir con las demás.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90"/>
              <w:left w:type="dxa" w:w="140"/>
              <w:bottom w:type="dxa" w:w="90"/>
              <w:right w:type="dxa" w:w="140"/>
            </w:tcMar>
          </w:tcPr>
          <w:p>
            <w:r>
              <w:rPr>
                <w:rFonts w:ascii="Calibri" w:cs="Calibri" w:eastAsia="Calibri" w:hAnsi="Calibri"/>
                <w:b/>
                <w:bCs/>
                <w:sz w:val="18"/>
                <w:szCs w:val="18"/>
              </w:rPr>
              <w:t xml:space="preserve">Pregunta para el aula:  </w:t>
            </w:r>
            <w:r>
              <w:rPr>
                <w:rFonts w:ascii="Calibri" w:cs="Calibri" w:eastAsia="Calibri" w:hAnsi="Calibri"/>
                <w:i/>
                <w:iCs/>
                <w:sz w:val="18"/>
                <w:szCs w:val="18"/>
              </w:rPr>
              <w:t xml:space="preserve">¿Qué pasaría si dos cursos de este ciclo usaran versiones distintas de la misma librería y ambos la instalaran en el mismo Python del laboratorio?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3</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Aislamiento con Entornos Virtuales (venv)</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venv es el estándar oficial del lenguaje (PEP 405) y crea un directorio autocontenido con su propio intérprete.</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venv viene incluido en Python desde la versión 3.3; no hay que instalar nada adicional. Al ejecutarlo, se crea una carpeta —por convención llamada .venv, con el punto delante— que contiene su propio intérprete de Python y su propia carpeta site-packages, donde se instalan las dependencias exclusivas de ese proyecto. Recorriendo el árbol de la derecha: bin o Scripts contiene el ejecutable de Python aislado; lib/site-packages es donde viven las librerías que instalemos, como requests o pandas, sin afectar a ningún otro proyecto. La 'Regla de Oro' que ven en rojo es innegociable: el entorno virtual NUNCA se sube a Git. Se agrega al .gitignore desde el primer minuto, algo que practicaremos en la Parte 2 del laboratorio de hoy. Además, nombrarlo .venv no es arbitrario: es la convención que VS Code y otros editores reconocen automáticamente para ofrecerles activarlo.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4</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Análisis comparativo: venv vs. conda</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venv gestiona solo paquetes Python; conda gestiona también dependencias no-Python (C, CUDA), clave en ciencia de datos.</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La diferencia clave está en el alcance: venv solo instala paquetes Python vía pip. conda, en cambio, puede instalar también bibliotecas compiladas en C o kits como CUDA, lo que lo hace indispensable cuando se trabaja con ciencia de datos o aprendizaje profundo. Por eso su caso de uso típico es distinto: venv para aplicaciones web, scripts y APIs —como las que construiremos hoy—; conda para proyectos con dependencias binarias complejas. Un dato de la industria: en 2026 han ganado terreno herramientas todo-en-uno como uv y Poetry, que combinan creación de entorno y resolución de dependencias en un solo paso. Para este curso usaremos venv porque no oculta el mecanismo subyacente: primero entendemos qué pasa 'bajo el capó', y luego, si lo desean, explorarán herramientas más rápidas por su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90"/>
              <w:left w:type="dxa" w:w="140"/>
              <w:bottom w:type="dxa" w:w="90"/>
              <w:right w:type="dxa" w:w="140"/>
            </w:tcMar>
          </w:tcPr>
          <w:p>
            <w:r>
              <w:rPr>
                <w:rFonts w:ascii="Calibri" w:cs="Calibri" w:eastAsia="Calibri" w:hAnsi="Calibri"/>
                <w:b/>
                <w:bCs/>
                <w:sz w:val="18"/>
                <w:szCs w:val="18"/>
              </w:rPr>
              <w:t xml:space="preserve">Pregunta para el aula:  </w:t>
            </w:r>
            <w:r>
              <w:rPr>
                <w:rFonts w:ascii="Calibri" w:cs="Calibri" w:eastAsia="Calibri" w:hAnsi="Calibri"/>
                <w:i/>
                <w:iCs/>
                <w:sz w:val="18"/>
                <w:szCs w:val="18"/>
              </w:rPr>
              <w:t xml:space="preserve">El próximo ciclo, en Ingeniería del Conocimiento, entrenarán modelos con redes neuronales y, potencialmente, GPU. ¿Cuál de las dos herramientas anticipan que usarán con más frecuencia allí, y por qué?</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5</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La evolución de las dependencias</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De archivos dispersos (requirements.txt, setup.py, setup.cfg) a un único estándar declarativo: pyproject.toml.</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Durante años, un proyecto Python podía tener hasta tres archivos de configuración distintos: requirements.txt, un archivo plano sin metadatos; setup.py, que además de configurar el paquete es código ejecutable —y por lo tanto, un riesgo de seguridad si se ejecuta sin revisar—; y setup.cfg, que dispersaba aún más la configuración. La comunidad de Python resolvió esta fragmentación con tres PEPs —518, 621 y 631— que consolidan todo en un único archivo declarativo: pyproject.toml. Esto centraliza metadatos, dependencias y configuración de herramientas en un solo lugar. Una buena práctica que deben interiorizar: en producción, fijen versiones exactas con el símbolo igual-igual para garantizar reproducibilidad total; en desarrollo, usen rangos con mayor-o-igual para mantener flexibilidad.</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6</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Anatomía de pyproject.toml</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Dos tablas centrales: [build-system] (cómo se construye el paquete) y [project] (metadatos y dependencias); pip install -e . habilita edición en vivo.</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Leamos el archivo línea por línea. La tabla [build-system] indica qué herramienta construye el paquete —en este ejemplo, setuptools—. La tabla [project] contiene el nombre, la versión y, lo más importante para nosotros hoy, la lista de dependencies con las versiones requeridas. Ahora observen el comando en la terminal: pip install -e punto. El -e significa 'editable': instala el proyecto en modo desarrollo, de forma que cualquier cambio que hagan en su código se refleje inmediatamente al ejecutarlo, sin necesidad de reinstalar el paquete cada vez. Este es exactamente el comando que ejecutarán en la Parte 3 del laboratorio, una vez que hayan reestructurado su proyecto.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7</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Control de versiones: Git + Python</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Git registra 'fotografías' (commits) del código; el .gitignore de Python excluye entornos, artefactos compilados y secretos.</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Git funciona registrando fotografías incrementales del estado de su código: eso son los commits. Antes de confirmar un commit, los cambios pasan por el 'staging area', un espacio intermedio donde eligen exactamente qué modificaciones quieren incluir. A la derecha tienen un .gitignore específico para Python: excluye el entorno virtual (.venv o env), los artefactos compilados (__pycache__, archivos .pyc) y, muy importante, los secretos (.env). Este patrón es consistente con la plantilla oficial que GitHub mantiene para proyectos Python, así que no están inventando nada: están siguiendo un estándar reconocido en toda la industria.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90"/>
              <w:left w:type="dxa" w:w="140"/>
              <w:bottom w:type="dxa" w:w="90"/>
              <w:right w:type="dxa" w:w="140"/>
            </w:tcMar>
          </w:tcPr>
          <w:p>
            <w:r>
              <w:rPr>
                <w:rFonts w:ascii="Calibri" w:cs="Calibri" w:eastAsia="Calibri" w:hAnsi="Calibri"/>
                <w:b/>
                <w:bCs/>
                <w:sz w:val="18"/>
                <w:szCs w:val="18"/>
              </w:rPr>
              <w:t xml:space="preserve">Pregunta para el aula:  </w:t>
            </w:r>
            <w:r>
              <w:rPr>
                <w:rFonts w:ascii="Calibri" w:cs="Calibri" w:eastAsia="Calibri" w:hAnsi="Calibri"/>
                <w:i/>
                <w:iCs/>
                <w:sz w:val="18"/>
                <w:szCs w:val="18"/>
              </w:rPr>
              <w:t xml:space="preserve">¿Alguna vez han subido por error una contraseña o una clave de API a un repositorio? No necesitan dar detalles sensibles — solo quiero que noten que es un error más común de lo que creen, incluso entre profesionales.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8</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Estrategias de ramificación (GitHub Flow)</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6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De tres estrategias (Trunk-Based, Git Flow, GitHub Flow), GitHub Flow —rama de feature + Pull Request— es la que usaremos hoy.</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No existe una única forma correcta de organizar ramas; depende del ritmo de entrega del equipo. Trunk-Based Development integra a la rama principal varias veces al día y exige equipos muy maduros con integración continua. Git Flow usa ramas separadas para release, hotfix y develop, útil en software con versiones empaquetadas que se lanzan lentamente. Para este curso usaremos GitHub Flow, el modelo del diagrama: parten de main, crean una rama de feature —como feature/login en el ejemplo—, hacen sus commits ahí, y cuando está lista, abren un Pull Request para fusionarla de vuelta a main tras una revisión. Es simple de enseñar en una sesión y, al mismo tiempo, es exactamente como trabajan los equipos profesionales con entregas continuas. En la Parte 2 del laboratorio van a vivir este flujo completo, de principio a fin.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9</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Automatización y trazabilidad: Commits ↔ SemVer</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Conventional Commits (tipo: descripción) permite automatizar el versionado semántico: fix→PATCH, feat→MINOR, breaking change→MAJOR.</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La especificación Conventional Commits estandariza el mensaje de cada commit con el formato tipo, dos puntos, descripción. Miren los tres ejemplos: 'fix: resolve api timeout' es una corrección que no rompe nada, e incrementa la versión PATCH, de la 1.0.0 a la 1.0.1. 'feat: add user authentication' agrega una funcionalidad nueva compatible con lo anterior, e incrementa la versión MINOR, a la 1.1.0. Y 'feat!: change database schema', marcado como BREAKING CHANGE, indica un cambio que rompe la compatibilidad, e incrementa la versión MAYOR, a la 2.0.0. Esta convención no es solo estética: permite generar automáticamente el historial de cambios de un proyecto y decidir, sin ambigüedad, qué número de versión corresponde publicar.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Mar>
              <w:top w:type="dxa" w:w="90"/>
              <w:left w:type="dxa" w:w="140"/>
              <w:bottom w:type="dxa" w:w="90"/>
              <w:right w:type="dxa" w:w="140"/>
            </w:tcMar>
          </w:tcPr>
          <w:p>
            <w:r>
              <w:rPr>
                <w:rFonts w:ascii="Calibri" w:cs="Calibri" w:eastAsia="Calibri" w:hAnsi="Calibri"/>
                <w:b/>
                <w:bCs/>
                <w:sz w:val="18"/>
                <w:szCs w:val="18"/>
              </w:rPr>
              <w:t xml:space="preserve">Pregunta para el aula:  </w:t>
            </w:r>
            <w:r>
              <w:rPr>
                <w:rFonts w:ascii="Calibri" w:cs="Calibri" w:eastAsia="Calibri" w:hAnsi="Calibri"/>
                <w:i/>
                <w:iCs/>
                <w:sz w:val="18"/>
                <w:szCs w:val="18"/>
              </w:rPr>
              <w:t xml:space="preserve">Si agregan una validación para que un formulario acepte solo RUC de 11 dígitos, en un sistema que antes aceptaba cualquier texto, ¿ese commit sería fix o feat? ¿Y si esa validación rompe formularios que antes se guardaban con datos inválidos?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10</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Higiene y seguridad del proyecto</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Tres pilares: commits atómicos, protección de la rama main, y cero secretos en el código.</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Primer pilar: commits atómicos, es decir, un cambio lógico por commit. Esto facilita usar git bisect para encontrar en qué commit se introdujo un error, o revertir un archivo específico sin afectar el resto. Segundo pilar: protección de ramas. Nunca se hace force-push sobre main, y toda validación de código pasa exclusivamente por Pull Requests. Tercer pilar, el más crítico: cero secretos en el código. Miren el ejemplo de la derecha: un archivo .env con una contraseña de base de datos y una clave de API en texto plano. Ese archivo jamás debe subirse a Git; por eso aparece bloqueado por el .gitignore que configuramos hace un momento. Si una credencial llega a subirse, considérenla comprometida de inmediato: hay que rotarla, no solo borrarla del historial.</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11</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Arquitectura de código: Flat vs. Src Layout</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5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Flat layout es simple pero puede ocultar errores de importación; src layout es el estándar profesional porque obliga a instalar el paquete correctamente.</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En el flat layout, el código de mi_paquete vive directamente en la raíz del proyecto, junto a pyproject.toml y README.md. Es simple y rápido de iniciar, pero tiene un riesgo sutil: Python puede importar accidentalmente la copia local en lugar de la versión instalada en el entorno, ocultando errores de dependencias que solo aparecerán cuando el proyecto se instale en otra máquina. El src layout, recomendado por PyPA y por pyOpenSci como estándar profesional, mueve el código a una subcarpeta src/. Esto obliga a hacer una instalación editable para poder ejecutar el código, lo que garantiza que el entorno de desarrollo se comporte idénticamente al de producción. Hoy en el laboratorio empezarán con flat layout por simplicidad, en la Parte 1, y migrarán a src layout en la Parte 3, cuando ya tengan más práctica.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12</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Legibilidad y estilo: PEP 8</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PEP 8 estandariza indentación, longitud de línea y nomenclatura; la consistencia dentro del proyecto importa más que la letra exacta de la norma.</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PEP 8 es la guía de estilo oficial de Python. Reglas clave: 4 espacios exactos de indentación, nunca tabulaciones mezcladas con espacios; un límite orientativo de 79 caracteres por línea; y convenciones de nombres: snake_case para variables y funciones, PascalCase para clases, UPPER_CASE para constantes. La cita que ven en pantalla resume el espíritu de la norma: la consistencia dentro de un proyecto importa más que cumplir la letra exacta de la regla. Y el mensaje más importante de esta diapositiva: no verifiquen el estilo a mano. Usen herramientas como pycodestyle para detectar problemas y Black para formatear automáticamente sin discusión. Ambas las usarán en la Parte 3 del laboratorio.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13</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El punto de entrada: README.md</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4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Regla de los 2 minutos: un buen README responde de inmediato qué hace el proyecto, cómo se instala y cómo se usa.</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Cuando alguien —un compañero, un revisor, ustedes mismos en seis meses— abre su repositorio por primera vez, el README.md es lo primero que ve. La 'regla de los 2 minutos' dice que en ese tiempo la persona debe poder responder tres preguntas: qué hace, cómo lo instalo, cómo lo uso. Las cinco secciones mínimas son: título y descripción, instalación con los comandos exactos —incluyendo la creación del entorno virtual—, un ejemplo de uso mínimo que demuestre valor inmediato, la estructura del proyecto, y la licencia. Estas son exactamente las cinco secciones que les voy a pedir en el checklist del laboratorio de hoy.</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14</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Actividad práctica — transición al laboratorio</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3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El checklist de esta diapositiva es, punto por punto, la guía de laboratorio de 4 horas que desarrollarán a continuación.</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Este checklist resume todo lo que hemos visto hoy: inicializar el repositorio con su .gitignore, crear y activar el entorno virtual, instalar una librería de prueba y generar un pyproject.toml mínimo, estructurar el proyecto e instalarlo en modo editable, redactar el README con las cinco secciones, y finalmente crear una rama de feature con tres commits siguiendo Conventional Commits antes de fusionarla a main. Esto no es un ejercicio aparte: es exactamente la Guía de Laboratorio N.º 1 que vamos a desarrollar ahora, paso a paso, durante las próximas cuatro horas, empezando por la Parte 1. Formen sus equipos de trabajo [o: trabajen de forma individual, según indique el docente] y abran la guía de laboratorio.</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c>
          <w:tcPr>
            <w:tcW w:type="dxa" w:w="140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Diapositiva 15</w:t>
            </w:r>
          </w:p>
        </w:tc>
        <w:tc>
          <w:tcPr>
            <w:tcW w:type="dxa" w:w="6260"/>
            <w:shd w:fill="1F3864" w:val="clear"/>
            <w:tcMar>
              <w:top w:type="dxa" w:w="80"/>
              <w:left w:type="dxa" w:w="100"/>
              <w:bottom w:type="dxa" w:w="80"/>
              <w:right w:type="dxa" w:w="100"/>
            </w:tcMar>
            <w:vAlign w:val="center"/>
          </w:tcPr>
          <w:p>
            <w:pPr>
              <w:spacing w:after="80" w:before="0"/>
              <w:jc w:val="left"/>
            </w:pPr>
            <w:r>
              <w:rPr>
                <w:rFonts w:ascii="Calibri" w:cs="Calibri" w:eastAsia="Calibri" w:hAnsi="Calibri"/>
                <w:b/>
                <w:bCs/>
                <w:i w:val="false"/>
                <w:iCs w:val="false"/>
                <w:color w:val="FFFFFF"/>
                <w:sz w:val="18"/>
                <w:szCs w:val="18"/>
              </w:rPr>
              <w:t xml:space="preserve">Referencias y bibliografía</w:t>
            </w:r>
          </w:p>
        </w:tc>
        <w:tc>
          <w:tcPr>
            <w:tcW w:type="dxa" w:w="1700"/>
            <w:shd w:fill="1F3864" w:val="clear"/>
            <w:tcMar>
              <w:top w:type="dxa" w:w="80"/>
              <w:left w:type="dxa" w:w="100"/>
              <w:bottom w:type="dxa" w:w="80"/>
              <w:right w:type="dxa" w:w="100"/>
            </w:tcMar>
            <w:vAlign w:val="center"/>
          </w:tcPr>
          <w:p>
            <w:pPr>
              <w:spacing w:after="80" w:before="0"/>
              <w:jc w:val="center"/>
            </w:pPr>
            <w:r>
              <w:rPr>
                <w:rFonts w:ascii="Calibri" w:cs="Calibri" w:eastAsia="Calibri" w:hAnsi="Calibri"/>
                <w:b/>
                <w:bCs/>
                <w:i w:val="false"/>
                <w:iCs w:val="false"/>
                <w:color w:val="FFFFFF"/>
                <w:sz w:val="18"/>
                <w:szCs w:val="18"/>
              </w:rPr>
              <w:t xml:space="preserve">2 min</w:t>
            </w:r>
          </w:p>
        </w:tc>
      </w:tr>
    </w:tbl>
    <w:p>
      <w:pPr>
        <w:spacing w:after="40" w:before="100"/>
      </w:pPr>
      <w:r>
        <w:rPr>
          <w:rFonts w:ascii="Calibri" w:cs="Calibri" w:eastAsia="Calibri" w:hAnsi="Calibri"/>
          <w:b/>
          <w:bCs/>
          <w:color w:val="1F3864"/>
          <w:sz w:val="18"/>
          <w:szCs w:val="18"/>
        </w:rPr>
        <w:t xml:space="preserve">Mensaje central</w:t>
      </w:r>
    </w:p>
    <w:p>
      <w:pPr>
        <w:spacing w:after="80" w:before="0"/>
        <w:jc w:val="left"/>
      </w:pPr>
      <w:r>
        <w:rPr>
          <w:rFonts w:ascii="Calibri" w:cs="Calibri" w:eastAsia="Calibri" w:hAnsi="Calibri"/>
          <w:b w:val="false"/>
          <w:bCs w:val="false"/>
          <w:i w:val="false"/>
          <w:iCs w:val="false"/>
          <w:sz w:val="20"/>
          <w:szCs w:val="20"/>
        </w:rPr>
        <w:t xml:space="preserve">Todo lo expuesto proviene de PEPs oficiales, especificaciones técnicas y la bibliografía del curso — no son opiniones del docente.</w:t>
      </w:r>
    </w:p>
    <w:p>
      <w:pPr>
        <w:spacing w:after="40" w:before="100"/>
      </w:pPr>
      <w:r>
        <w:rPr>
          <w:rFonts w:ascii="Calibri" w:cs="Calibri" w:eastAsia="Calibri" w:hAnsi="Calibri"/>
          <w:b/>
          <w:bCs/>
          <w:color w:val="1F3864"/>
          <w:sz w:val="18"/>
          <w:szCs w:val="18"/>
        </w:rPr>
        <w:t xml:space="preserve">Guion sugerido</w:t>
      </w:r>
    </w:p>
    <w:p>
      <w:pPr>
        <w:spacing w:after="100"/>
        <w:jc w:val="both"/>
      </w:pPr>
      <w:r>
        <w:rPr>
          <w:rFonts w:ascii="Calibri" w:cs="Calibri" w:eastAsia="Calibri" w:hAnsi="Calibri"/>
          <w:sz w:val="20"/>
          <w:szCs w:val="20"/>
        </w:rPr>
        <w:t xml:space="preserve">Para cerrar, quiero que noten que nada de lo que hemos visto hoy es una opinión personal: cada afirmación proviene de una fuente verificable —los PEPs oficiales de Python, la especificación de Conventional Commits, la guía de empaquetado de PyPA— y de la bibliografía del curso, en particular Learning Python de Lutz y Test-Driven Development with Python de Percival y Gregory, que retomaremos en la Semana 3. Los invito a consultarlas si quieren profundizar en cualquiera de los temas de hoy. Con esto cerramos la hora de teoría; pasemos al laboratorio.</w:t>
      </w:r>
    </w:p>
    <w:p>
      <w:pPr>
        <w:pBdr>
          <w:bottom w:val="single" w:color="1F3864" w:sz="6" w:space="2"/>
        </w:pBdr>
        <w:spacing w:after="150" w:before="320"/>
      </w:pPr>
      <w:r>
        <w:rPr>
          <w:rFonts w:ascii="Calibri" w:cs="Calibri" w:eastAsia="Calibri" w:hAnsi="Calibri"/>
          <w:b/>
          <w:bCs/>
          <w:color w:val="1F3864"/>
          <w:sz w:val="24"/>
          <w:szCs w:val="24"/>
        </w:rPr>
        <w:t xml:space="preserve">Cierre y puente al laboratorio</w:t>
      </w:r>
    </w:p>
    <w:p>
      <w:pPr>
        <w:spacing w:after="80" w:before="0"/>
        <w:jc w:val="left"/>
      </w:pPr>
      <w:r>
        <w:rPr>
          <w:rFonts w:ascii="Calibri" w:cs="Calibri" w:eastAsia="Calibri" w:hAnsi="Calibri"/>
          <w:b w:val="false"/>
          <w:bCs w:val="false"/>
          <w:i w:val="false"/>
          <w:iCs w:val="false"/>
          <w:sz w:val="20"/>
          <w:szCs w:val="20"/>
        </w:rPr>
        <w:t xml:space="preserve">Al finalizar la diapositiva 15, entregue o proyecte la Guía de Laboratorio N.º 1 y recuerde en voz alta el entregable de la sesión: un repositorio en GitHub con estructura en src layout, pyproject.toml funcional, código formateado con PEP 8, README completo y un historial de al menos 5 commits en formato Conventional Commits, con al menos una rama de feature fusionada mediante Pull Request. Ese es el hilo que conecta la teoría de esta hora con las cuatro horas de práctica que siguen.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2026-08-31T17:08:02.235Z</dcterms:created>
  <dcterms:modified xsi:type="dcterms:W3CDTF">2026-08-31T17:08:02.249Z</dcterms:modified>
</cp:coreProperties>
</file>

<file path=docProps/custom.xml><?xml version="1.0" encoding="utf-8"?>
<Properties xmlns="http://schemas.openxmlformats.org/officeDocument/2006/custom-properties" xmlns:vt="http://schemas.openxmlformats.org/officeDocument/2006/docPropsVTypes"/>
</file>