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C22" w:rsidRDefault="00332C22" w:rsidP="00332C22">
      <w:pPr>
        <w:jc w:val="center"/>
      </w:pPr>
    </w:p>
    <w:p w:rsidR="00C31DC7" w:rsidRDefault="00C31DC7" w:rsidP="00C31DC7">
      <w:pPr>
        <w:jc w:val="right"/>
      </w:pPr>
    </w:p>
    <w:p w:rsidR="00C31DC7" w:rsidRDefault="00C31DC7" w:rsidP="00C31DC7">
      <w:pPr>
        <w:jc w:val="right"/>
      </w:pPr>
      <w:r>
        <w:rPr>
          <w:noProof/>
          <w:lang w:eastAsia="es-ES"/>
        </w:rPr>
        <w:drawing>
          <wp:anchor distT="0" distB="0" distL="114300" distR="114300" simplePos="0" relativeHeight="251659264" behindDoc="0" locked="0" layoutInCell="1" allowOverlap="1">
            <wp:simplePos x="0" y="0"/>
            <wp:positionH relativeFrom="column">
              <wp:posOffset>351790</wp:posOffset>
            </wp:positionH>
            <wp:positionV relativeFrom="paragraph">
              <wp:posOffset>55245</wp:posOffset>
            </wp:positionV>
            <wp:extent cx="2113280" cy="1352550"/>
            <wp:effectExtent l="0" t="0" r="1270" b="0"/>
            <wp:wrapSquare wrapText="bothSides"/>
            <wp:docPr id="4" name="Imagen 4" descr="C:\Users\alumnado\AppData\Local\Microsoft\Windows\INetCache\Content.MSO\9B32F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ado\AppData\Local\Microsoft\Windows\INetCache\Content.MSO\9B32F20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28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1DC7" w:rsidRDefault="00C31DC7" w:rsidP="00C31DC7">
      <w:pPr>
        <w:jc w:val="right"/>
      </w:pPr>
    </w:p>
    <w:p w:rsidR="00C31DC7" w:rsidRDefault="00C31DC7" w:rsidP="00C31DC7">
      <w:pPr>
        <w:jc w:val="right"/>
      </w:pPr>
    </w:p>
    <w:p w:rsidR="00C31DC7" w:rsidRDefault="00C31DC7" w:rsidP="00C31DC7">
      <w:pPr>
        <w:jc w:val="right"/>
      </w:pPr>
    </w:p>
    <w:p w:rsidR="000B07A8" w:rsidRDefault="000B07A8" w:rsidP="000B07A8">
      <w:pPr>
        <w:jc w:val="right"/>
      </w:pPr>
      <w:r>
        <w:fldChar w:fldCharType="begin"/>
      </w:r>
      <w:r>
        <w:instrText xml:space="preserve"> MERGEFIELD Dirección </w:instrText>
      </w:r>
      <w:r>
        <w:fldChar w:fldCharType="separate"/>
      </w:r>
      <w:r>
        <w:rPr>
          <w:noProof/>
        </w:rPr>
        <w:t>«Dirección»</w:t>
      </w:r>
      <w:r>
        <w:fldChar w:fldCharType="end"/>
      </w:r>
    </w:p>
    <w:p w:rsidR="000B07A8" w:rsidRDefault="000B07A8" w:rsidP="000B07A8">
      <w:pPr>
        <w:jc w:val="right"/>
      </w:pPr>
      <w:r>
        <w:fldChar w:fldCharType="begin"/>
      </w:r>
      <w:r>
        <w:instrText xml:space="preserve"> MERGEFIELD Nombre </w:instrText>
      </w:r>
      <w:r>
        <w:fldChar w:fldCharType="separate"/>
      </w:r>
      <w:r>
        <w:rPr>
          <w:noProof/>
        </w:rPr>
        <w:t>«Nombre»</w:t>
      </w:r>
      <w:r>
        <w:fldChar w:fldCharType="end"/>
      </w:r>
    </w:p>
    <w:p w:rsidR="000B07A8" w:rsidRDefault="000B07A8" w:rsidP="000B07A8">
      <w:pPr>
        <w:jc w:val="right"/>
      </w:pPr>
      <w:r>
        <w:fldChar w:fldCharType="begin"/>
      </w:r>
      <w:r>
        <w:instrText xml:space="preserve"> MERGEFIELD Correo_electrónico </w:instrText>
      </w:r>
      <w:r>
        <w:fldChar w:fldCharType="separate"/>
      </w:r>
      <w:r>
        <w:rPr>
          <w:noProof/>
        </w:rPr>
        <w:t>«Correo_electrónico»</w:t>
      </w:r>
      <w:r>
        <w:fldChar w:fldCharType="end"/>
      </w:r>
    </w:p>
    <w:bookmarkStart w:id="0" w:name="_GoBack"/>
    <w:bookmarkEnd w:id="0"/>
    <w:p w:rsidR="00C31DC7" w:rsidRDefault="000B07A8" w:rsidP="000B07A8">
      <w:pPr>
        <w:jc w:val="right"/>
      </w:pPr>
      <w:r>
        <w:fldChar w:fldCharType="begin"/>
      </w:r>
      <w:r>
        <w:instrText xml:space="preserve"> MERGEFIELD Código_postal </w:instrText>
      </w:r>
      <w:r>
        <w:fldChar w:fldCharType="separate"/>
      </w:r>
      <w:r>
        <w:rPr>
          <w:noProof/>
        </w:rPr>
        <w:t>«Código_postal»</w:t>
      </w:r>
      <w:r>
        <w:fldChar w:fldCharType="end"/>
      </w:r>
    </w:p>
    <w:p w:rsidR="00C31DC7" w:rsidRDefault="00C31DC7" w:rsidP="00C31DC7">
      <w:pPr>
        <w:jc w:val="both"/>
      </w:pPr>
    </w:p>
    <w:p w:rsidR="00C31DC7" w:rsidRDefault="00C31DC7" w:rsidP="00C31DC7">
      <w:pPr>
        <w:jc w:val="both"/>
      </w:pPr>
    </w:p>
    <w:p w:rsidR="00F12EB7" w:rsidRDefault="00F12EB7" w:rsidP="00C31DC7">
      <w:pPr>
        <w:jc w:val="both"/>
      </w:pPr>
      <w:r>
        <w:fldChar w:fldCharType="begin"/>
      </w:r>
      <w:r>
        <w:instrText xml:space="preserve"> MERGEFIELD Saludo </w:instrText>
      </w:r>
      <w:r>
        <w:fldChar w:fldCharType="separate"/>
      </w:r>
      <w:r w:rsidR="000B07A8">
        <w:rPr>
          <w:noProof/>
        </w:rPr>
        <w:t>«Saludo»</w:t>
      </w:r>
      <w:r>
        <w:fldChar w:fldCharType="end"/>
      </w:r>
      <w:r>
        <w:fldChar w:fldCharType="begin"/>
      </w:r>
      <w:r>
        <w:instrText xml:space="preserve"> MERGEFIELD Nombre </w:instrText>
      </w:r>
      <w:r w:rsidR="00424B23">
        <w:fldChar w:fldCharType="separate"/>
      </w:r>
      <w:r w:rsidR="000B07A8">
        <w:rPr>
          <w:noProof/>
        </w:rPr>
        <w:t>«Nombre»</w:t>
      </w:r>
      <w:r>
        <w:fldChar w:fldCharType="end"/>
      </w:r>
      <w:r w:rsidR="00424B23">
        <w:t>,</w:t>
      </w:r>
      <w:r>
        <w:t xml:space="preserve"> </w:t>
      </w:r>
      <w:r w:rsidR="00C31DC7">
        <w:t>desde el equipo de Nvidia queremos ofrecer una nueva gama de nuestros productos</w:t>
      </w:r>
      <w:r w:rsidR="001F6FFC">
        <w:t xml:space="preserve"> software y hardware de NVIDIA</w:t>
      </w:r>
      <w:r w:rsidR="00735EBC">
        <w:t>.</w:t>
      </w:r>
    </w:p>
    <w:p w:rsidR="00735EBC" w:rsidRDefault="006B05E8" w:rsidP="00332C22">
      <w:r>
        <w:rPr>
          <w:noProof/>
          <w:lang w:eastAsia="es-ES"/>
        </w:rPr>
        <w:drawing>
          <wp:anchor distT="0" distB="0" distL="114300" distR="114300" simplePos="0" relativeHeight="251660288" behindDoc="0" locked="0" layoutInCell="1" allowOverlap="1">
            <wp:simplePos x="0" y="0"/>
            <wp:positionH relativeFrom="column">
              <wp:posOffset>2864485</wp:posOffset>
            </wp:positionH>
            <wp:positionV relativeFrom="paragraph">
              <wp:posOffset>12065</wp:posOffset>
            </wp:positionV>
            <wp:extent cx="2902585" cy="1635125"/>
            <wp:effectExtent l="0" t="0" r="0" b="3175"/>
            <wp:wrapSquare wrapText="bothSides"/>
            <wp:docPr id="5" name="Imagen 5" descr="C:\Users\alumnado\AppData\Local\Microsoft\Windows\INetCache\Content.MSO\2890C7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mnado\AppData\Local\Microsoft\Windows\INetCache\Content.MSO\2890C70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585"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FFC">
        <w:rPr>
          <w:b/>
        </w:rPr>
        <w:t xml:space="preserve">NVIDIA </w:t>
      </w:r>
      <w:r w:rsidR="00735EBC" w:rsidRPr="00735EBC">
        <w:rPr>
          <w:b/>
        </w:rPr>
        <w:t>GForce Now</w:t>
      </w:r>
      <w:r w:rsidR="00397D36">
        <w:t xml:space="preserve"> Con este producto podrás jugar cualquier juego</w:t>
      </w:r>
      <w:r w:rsidR="00735EBC" w:rsidRPr="00735EBC">
        <w:t>. Usa la tecnología de las GPU NVIDIA GeForce, por lo que la calidad y el rendimiento están garantizados.</w:t>
      </w:r>
      <w:r w:rsidR="00735EBC" w:rsidRPr="00735EBC">
        <w:rPr>
          <w:rFonts w:ascii="Helvetica" w:hAnsi="Helvetica"/>
          <w:color w:val="EEEEEE"/>
          <w:shd w:val="clear" w:color="auto" w:fill="000000"/>
        </w:rPr>
        <w:t xml:space="preserve"> </w:t>
      </w:r>
      <w:r w:rsidR="00735EBC" w:rsidRPr="00735EBC">
        <w:t xml:space="preserve">Este modo aumenta la velocidad con la que GeForce NOW transmite juegos por streaming a tu Mac, PC con Windows o dispositivo SHIELD TV de 60 a 120 o más fotogramas por segundo, por lo que se reduce la </w:t>
      </w:r>
      <w:r w:rsidR="00735EBC">
        <w:t xml:space="preserve">latencia. Para tu sorpresa este maravilloso producto </w:t>
      </w:r>
      <w:r w:rsidR="00735EBC">
        <w:rPr>
          <w:b/>
        </w:rPr>
        <w:t>ES GRATIS</w:t>
      </w:r>
      <w:r w:rsidR="00735EBC">
        <w:t>.</w:t>
      </w:r>
    </w:p>
    <w:p w:rsidR="006B05E8" w:rsidRPr="00735EBC" w:rsidRDefault="006B05E8" w:rsidP="00332C22"/>
    <w:p w:rsidR="00735EBC" w:rsidRDefault="00735EBC" w:rsidP="00332C22"/>
    <w:p w:rsidR="00735EBC" w:rsidRPr="00735EBC" w:rsidRDefault="006B05E8" w:rsidP="00735EBC">
      <w:r>
        <w:rPr>
          <w:noProof/>
          <w:lang w:eastAsia="es-ES"/>
        </w:rPr>
        <w:drawing>
          <wp:anchor distT="0" distB="0" distL="114300" distR="114300" simplePos="0" relativeHeight="251661312" behindDoc="0" locked="0" layoutInCell="1" allowOverlap="1">
            <wp:simplePos x="0" y="0"/>
            <wp:positionH relativeFrom="page">
              <wp:posOffset>4848314</wp:posOffset>
            </wp:positionH>
            <wp:positionV relativeFrom="paragraph">
              <wp:posOffset>123176</wp:posOffset>
            </wp:positionV>
            <wp:extent cx="2444750" cy="1377315"/>
            <wp:effectExtent l="0" t="0" r="0" b="0"/>
            <wp:wrapSquare wrapText="bothSides"/>
            <wp:docPr id="6" name="Imagen 6" descr="C:\Users\alumnado\AppData\Local\Microsoft\Windows\INetCache\Content.MSO\569CC0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mnado\AppData\Local\Microsoft\Windows\INetCache\Content.MSO\569CC05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75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EBC" w:rsidRPr="001F6FFC">
        <w:rPr>
          <w:b/>
        </w:rPr>
        <w:t>NVIDIA DesignWorks</w:t>
      </w:r>
      <w:r w:rsidR="00735EBC" w:rsidRPr="00735EBC">
        <w:t xml:space="preserve"> es una colección de productos para crear aplicaciones de visualización profesional aceleradas por GPU. Incluye kits de desarrollo de software, bibliotecas, muestras para soluciones de renderizado, video y visualización. Estos productos permiten a los desarrolladores, investigadores y científicos de todas las industrias beneficiarse de los miles de núcleos informáticos en las GPU modernas junto con la potencia de las unidades de hardware dedicadas para el procesamiento acelerado de video.</w:t>
      </w:r>
      <w:r w:rsidR="00735EBC">
        <w:t xml:space="preserve"> Se puede adquirir este software por </w:t>
      </w:r>
      <w:r w:rsidR="00735EBC" w:rsidRPr="00735EBC">
        <w:rPr>
          <w:b/>
        </w:rPr>
        <w:t>199,9€</w:t>
      </w:r>
      <w:r w:rsidR="00735EBC">
        <w:t>.</w:t>
      </w:r>
    </w:p>
    <w:p w:rsidR="00735EBC" w:rsidRDefault="00735EBC" w:rsidP="00332C22"/>
    <w:p w:rsidR="00735EBC" w:rsidRPr="00FC6FDB" w:rsidRDefault="00FC6FDB" w:rsidP="00332C22">
      <w:r>
        <w:rPr>
          <w:noProof/>
          <w:lang w:eastAsia="es-ES"/>
        </w:rPr>
        <w:lastRenderedPageBreak/>
        <w:drawing>
          <wp:anchor distT="0" distB="0" distL="114300" distR="114300" simplePos="0" relativeHeight="251662336" behindDoc="0" locked="0" layoutInCell="1" allowOverlap="1">
            <wp:simplePos x="0" y="0"/>
            <wp:positionH relativeFrom="column">
              <wp:posOffset>2757805</wp:posOffset>
            </wp:positionH>
            <wp:positionV relativeFrom="paragraph">
              <wp:posOffset>120650</wp:posOffset>
            </wp:positionV>
            <wp:extent cx="3354705" cy="2168525"/>
            <wp:effectExtent l="0" t="0" r="0" b="3175"/>
            <wp:wrapSquare wrapText="bothSides"/>
            <wp:docPr id="7" name="Imagen 7" descr="C:\Users\alumnado\AppData\Local\Microsoft\Windows\INetCache\Content.MSO\DB6977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mnado\AppData\Local\Microsoft\Windows\INetCache\Content.MSO\DB69778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470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EBC" w:rsidRPr="001F6FFC">
        <w:rPr>
          <w:b/>
        </w:rPr>
        <w:t>N</w:t>
      </w:r>
      <w:r w:rsidR="001F6FFC" w:rsidRPr="001F6FFC">
        <w:rPr>
          <w:b/>
        </w:rPr>
        <w:t>VIDIA</w:t>
      </w:r>
      <w:r w:rsidR="00735EBC" w:rsidRPr="001F6FFC">
        <w:rPr>
          <w:b/>
        </w:rPr>
        <w:t xml:space="preserve"> OptiX</w:t>
      </w:r>
      <w:r w:rsidR="00735EBC">
        <w:t>,</w:t>
      </w:r>
      <w:r w:rsidR="00735EBC" w:rsidRPr="00735EBC">
        <w:t xml:space="preserve"> proporciona una iluminación realista al simular el </w:t>
      </w:r>
      <w:r w:rsidR="00735EBC">
        <w:t>comportamiento físico de la luz,</w:t>
      </w:r>
      <w:r w:rsidR="00735EBC" w:rsidRPr="00735EBC">
        <w:t xml:space="preserve"> calcula el color de los píxeles al trazar el camino que tomaría la luz si viajara desde el ojo del espectador a través de la escena virtual en 3D. A medida que atraviesa la escena, la luz puede reflejarse de un objeto a otro (causando reflejos), ser bloqueada por objetos (causando sombras) o pasar a través de objetos transparentes o semitransparentes (causando refracciones). Todas estas interacciones se combinan para producir el color final de un píxel que luego se muestra en la pantalla.</w:t>
      </w:r>
      <w:r w:rsidR="00397D36">
        <w:t xml:space="preserve"> Este</w:t>
      </w:r>
      <w:r>
        <w:t xml:space="preserve"> producto está totalmente </w:t>
      </w:r>
      <w:r w:rsidRPr="00FC6FDB">
        <w:rPr>
          <w:b/>
        </w:rPr>
        <w:t>GRATIS</w:t>
      </w:r>
      <w:r>
        <w:t>.</w:t>
      </w:r>
      <w:r w:rsidRPr="00FC6FDB">
        <w:t xml:space="preserve"> </w:t>
      </w:r>
    </w:p>
    <w:p w:rsidR="001F6FFC" w:rsidRDefault="001F6FFC" w:rsidP="00332C22"/>
    <w:p w:rsidR="00CC7E70" w:rsidRDefault="001F6FFC" w:rsidP="00332C22">
      <w:r>
        <w:rPr>
          <w:b/>
        </w:rPr>
        <w:t>NVIDIA GTX 1660S</w:t>
      </w:r>
      <w:r w:rsidRPr="001F6FFC">
        <w:t>.</w:t>
      </w:r>
      <w:r>
        <w:t xml:space="preserve"> </w:t>
      </w:r>
    </w:p>
    <w:p w:rsidR="001F6FFC" w:rsidRDefault="00FC6FDB" w:rsidP="00332C22">
      <w:r>
        <w:rPr>
          <w:noProof/>
          <w:lang w:eastAsia="es-ES"/>
        </w:rPr>
        <w:drawing>
          <wp:anchor distT="0" distB="0" distL="114300" distR="114300" simplePos="0" relativeHeight="251663360" behindDoc="1" locked="0" layoutInCell="1" allowOverlap="1">
            <wp:simplePos x="0" y="0"/>
            <wp:positionH relativeFrom="margin">
              <wp:align>center</wp:align>
            </wp:positionH>
            <wp:positionV relativeFrom="paragraph">
              <wp:posOffset>1166569</wp:posOffset>
            </wp:positionV>
            <wp:extent cx="3320415" cy="2214880"/>
            <wp:effectExtent l="0" t="0" r="0" b="0"/>
            <wp:wrapTopAndBottom/>
            <wp:docPr id="8" name="Imagen 8" descr="Resultado de imagen de gtx 166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gtx 1660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041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FFC" w:rsidRPr="001F6FFC">
        <w:t>L</w:t>
      </w:r>
      <w:r w:rsidR="001F6FFC" w:rsidRPr="00CC7E70">
        <w:t>a GeForce GTX 1660 SUPER es hasta un 20 % más rápida que la GTX 1660 original y hasta un 1,5 veces más rápida que la GTX 1060 6 GB de la generación anterior. Con la galardonada </w:t>
      </w:r>
      <w:hyperlink r:id="rId12" w:history="1">
        <w:r w:rsidR="001F6FFC" w:rsidRPr="00CC7E70">
          <w:rPr>
            <w:rStyle w:val="Hipervnculo"/>
          </w:rPr>
          <w:t>arquitectura NVIDIA Turing™</w:t>
        </w:r>
      </w:hyperlink>
      <w:r w:rsidR="001F6FFC" w:rsidRPr="00CC7E70">
        <w:t> y memoria GDDR6 ultrarrápida, es un supercargador para los juegos más populares de hoy en día. Hora de equiparte con algo SUPER.</w:t>
      </w:r>
      <w:r w:rsidR="00D82129" w:rsidRPr="00CC7E70">
        <w:t xml:space="preserve"> Este producto está al precio de 244,9 €</w:t>
      </w:r>
      <w:r w:rsidR="00CC7E70" w:rsidRPr="00CC7E70">
        <w:t>.</w:t>
      </w:r>
    </w:p>
    <w:p w:rsidR="00FC6FDB" w:rsidRDefault="00FC6FDB" w:rsidP="00332C22"/>
    <w:p w:rsidR="001F6FFC" w:rsidRDefault="001F6FFC" w:rsidP="00332C22"/>
    <w:p w:rsidR="00FC6FDB" w:rsidRDefault="00FC6FDB" w:rsidP="00D82129">
      <w:pPr>
        <w:rPr>
          <w:b/>
        </w:rPr>
      </w:pPr>
    </w:p>
    <w:p w:rsidR="00FC6FDB" w:rsidRDefault="00FC6FDB" w:rsidP="00D82129">
      <w:pPr>
        <w:rPr>
          <w:b/>
        </w:rPr>
      </w:pPr>
    </w:p>
    <w:p w:rsidR="00FC6FDB" w:rsidRDefault="00FC6FDB" w:rsidP="00D82129">
      <w:pPr>
        <w:rPr>
          <w:b/>
        </w:rPr>
      </w:pPr>
    </w:p>
    <w:p w:rsidR="00FC6FDB" w:rsidRDefault="00FC6FDB" w:rsidP="00D82129">
      <w:pPr>
        <w:rPr>
          <w:b/>
        </w:rPr>
      </w:pPr>
    </w:p>
    <w:p w:rsidR="00FC6FDB" w:rsidRDefault="00FC6FDB" w:rsidP="00D82129">
      <w:pPr>
        <w:rPr>
          <w:b/>
        </w:rPr>
      </w:pPr>
    </w:p>
    <w:p w:rsidR="00FC6FDB" w:rsidRDefault="00FC6FDB" w:rsidP="00D82129">
      <w:pPr>
        <w:rPr>
          <w:b/>
        </w:rPr>
      </w:pPr>
    </w:p>
    <w:p w:rsidR="00FC6FDB" w:rsidRDefault="00FC6FDB" w:rsidP="00D82129">
      <w:pPr>
        <w:rPr>
          <w:b/>
        </w:rPr>
      </w:pPr>
    </w:p>
    <w:p w:rsidR="00FC6FDB" w:rsidRDefault="00FC6FDB" w:rsidP="00D82129">
      <w:pPr>
        <w:rPr>
          <w:b/>
        </w:rPr>
      </w:pPr>
    </w:p>
    <w:p w:rsidR="00FC6FDB" w:rsidRDefault="00FC6FDB" w:rsidP="00D82129">
      <w:pPr>
        <w:rPr>
          <w:b/>
        </w:rPr>
      </w:pPr>
    </w:p>
    <w:p w:rsidR="00CC7E70" w:rsidRDefault="00397D36" w:rsidP="00D82129">
      <w:r>
        <w:rPr>
          <w:b/>
        </w:rPr>
        <w:t>NVIDIA RTX 2060</w:t>
      </w:r>
      <w:r w:rsidRPr="00CC7E70">
        <w:t>.</w:t>
      </w:r>
    </w:p>
    <w:p w:rsidR="00D82129" w:rsidRDefault="00397D36" w:rsidP="00D82129">
      <w:r w:rsidRPr="00CC7E70">
        <w:t xml:space="preserve"> La GeForce RTX™ 2060 cuenta con la </w:t>
      </w:r>
      <w:hyperlink r:id="rId13" w:tgtFrame="_self" w:history="1">
        <w:r w:rsidRPr="00CC7E70">
          <w:rPr>
            <w:rStyle w:val="Hipervnculo"/>
          </w:rPr>
          <w:t>arquitectura NVIDIA Turing™ architecture</w:t>
        </w:r>
      </w:hyperlink>
      <w:r w:rsidRPr="00CC7E70">
        <w:t>, de forma que ofrece un rendimiento increíble y lleva la potencia del trazado de rayos en tiempo real y la inteligencia artificial a los últimos juegos y a todos los jugadores. Consigue Game Ready con RTX.</w:t>
      </w:r>
      <w:r w:rsidR="00D82129" w:rsidRPr="00CC7E70">
        <w:t xml:space="preserve"> Este producto está al precio de </w:t>
      </w:r>
      <w:r w:rsidR="00CC7E70" w:rsidRPr="00FC6FDB">
        <w:rPr>
          <w:b/>
        </w:rPr>
        <w:t>349,90 €.</w:t>
      </w:r>
    </w:p>
    <w:p w:rsidR="001F6FFC" w:rsidRDefault="00FC6FDB" w:rsidP="00332C22">
      <w:r>
        <w:rPr>
          <w:noProof/>
          <w:lang w:eastAsia="es-ES"/>
        </w:rPr>
        <w:drawing>
          <wp:inline distT="0" distB="0" distL="0" distR="0">
            <wp:extent cx="2689067" cy="1520456"/>
            <wp:effectExtent l="0" t="0" r="0" b="3810"/>
            <wp:docPr id="9" name="Imagen 9" descr="C:\Users\alumnado\AppData\Local\Microsoft\Windows\INetCache\Content.MSO\48DE9A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umnado\AppData\Local\Microsoft\Windows\INetCache\Content.MSO\48DE9A4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773" cy="1531033"/>
                    </a:xfrm>
                    <a:prstGeom prst="rect">
                      <a:avLst/>
                    </a:prstGeom>
                    <a:noFill/>
                    <a:ln>
                      <a:noFill/>
                    </a:ln>
                  </pic:spPr>
                </pic:pic>
              </a:graphicData>
            </a:graphic>
          </wp:inline>
        </w:drawing>
      </w:r>
    </w:p>
    <w:p w:rsidR="00397D36" w:rsidRDefault="00397D36" w:rsidP="00332C22"/>
    <w:p w:rsidR="00CC7E70" w:rsidRDefault="00397D36" w:rsidP="00D82129">
      <w:r w:rsidRPr="00D82129">
        <w:rPr>
          <w:b/>
        </w:rPr>
        <w:t xml:space="preserve">NVIDIA GTX </w:t>
      </w:r>
      <w:r w:rsidRPr="00FC6FDB">
        <w:rPr>
          <w:b/>
        </w:rPr>
        <w:t>1</w:t>
      </w:r>
      <w:r w:rsidR="00D82129" w:rsidRPr="00FC6FDB">
        <w:rPr>
          <w:b/>
        </w:rPr>
        <w:t>6</w:t>
      </w:r>
      <w:r w:rsidRPr="00FC6FDB">
        <w:rPr>
          <w:b/>
        </w:rPr>
        <w:t>50 T</w:t>
      </w:r>
      <w:r w:rsidR="00FC6FDB">
        <w:rPr>
          <w:b/>
        </w:rPr>
        <w:t>i</w:t>
      </w:r>
    </w:p>
    <w:p w:rsidR="00D82129" w:rsidRDefault="00397D36" w:rsidP="00D82129">
      <w:r w:rsidRPr="00397D36">
        <w:t>odos merecemos la mejor experiencia de gaming. Por eso hemos creado la</w:t>
      </w:r>
      <w:r w:rsidR="00D82129">
        <w:t xml:space="preserve"> tarjeta gráfica GeForce® GTX 16</w:t>
      </w:r>
      <w:r w:rsidRPr="00397D36">
        <w:t>50, un prodigio de potencia y velocidad. Ya puedes transformar tu PC en una auténtica máquina de gaming basada en</w:t>
      </w:r>
      <w:r>
        <w:t xml:space="preserve"> </w:t>
      </w:r>
      <w:r w:rsidRPr="00397D36">
        <w:t>NVIDIA PASCAL</w:t>
      </w:r>
      <w:r w:rsidR="00D82129">
        <w:t xml:space="preserve"> </w:t>
      </w:r>
      <w:r w:rsidRPr="00397D36">
        <w:t>que proporciona hasta el triple de rendimiento que las tarjetas gráficas de generaciones anteriores, además de innovadoras tecnologías para videojuegos.</w:t>
      </w:r>
      <w:r w:rsidR="00D82129">
        <w:t xml:space="preserve"> Este producto está al precio de </w:t>
      </w:r>
      <w:r w:rsidR="00CC7E70" w:rsidRPr="00FC6FDB">
        <w:rPr>
          <w:b/>
        </w:rPr>
        <w:t>174,90€.</w:t>
      </w:r>
    </w:p>
    <w:p w:rsidR="00397D36" w:rsidRDefault="00FC6FDB" w:rsidP="00397D36">
      <w:r>
        <w:rPr>
          <w:noProof/>
          <w:lang w:eastAsia="es-ES"/>
        </w:rPr>
        <w:drawing>
          <wp:inline distT="0" distB="0" distL="0" distR="0">
            <wp:extent cx="1754372" cy="1051477"/>
            <wp:effectExtent l="0" t="0" r="0" b="0"/>
            <wp:docPr id="10" name="Imagen 10" descr="Resultado de imagen de gtx 1650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gtx 1650 t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6194" cy="1064556"/>
                    </a:xfrm>
                    <a:prstGeom prst="rect">
                      <a:avLst/>
                    </a:prstGeom>
                    <a:noFill/>
                    <a:ln>
                      <a:noFill/>
                    </a:ln>
                  </pic:spPr>
                </pic:pic>
              </a:graphicData>
            </a:graphic>
          </wp:inline>
        </w:drawing>
      </w:r>
    </w:p>
    <w:p w:rsidR="00FC6FDB" w:rsidRDefault="00FC6FDB" w:rsidP="00397D36">
      <w:pPr>
        <w:rPr>
          <w:b/>
        </w:rPr>
      </w:pPr>
    </w:p>
    <w:p w:rsidR="00FC6FDB" w:rsidRDefault="00FC6FDB" w:rsidP="00397D36">
      <w:pPr>
        <w:rPr>
          <w:b/>
        </w:rPr>
      </w:pPr>
    </w:p>
    <w:p w:rsidR="00FC6FDB" w:rsidRDefault="00FC6FDB" w:rsidP="00397D36">
      <w:pPr>
        <w:rPr>
          <w:b/>
        </w:rPr>
      </w:pPr>
    </w:p>
    <w:p w:rsidR="00FC6FDB" w:rsidRDefault="00FC6FDB" w:rsidP="00397D36">
      <w:pPr>
        <w:rPr>
          <w:b/>
        </w:rPr>
      </w:pPr>
    </w:p>
    <w:p w:rsidR="00FC6FDB" w:rsidRDefault="00FC6FDB" w:rsidP="00397D36">
      <w:pPr>
        <w:rPr>
          <w:b/>
        </w:rPr>
      </w:pPr>
    </w:p>
    <w:p w:rsidR="00FC6FDB" w:rsidRDefault="00FC6FDB" w:rsidP="00397D36">
      <w:pPr>
        <w:rPr>
          <w:b/>
        </w:rPr>
      </w:pPr>
    </w:p>
    <w:p w:rsidR="00FC6FDB" w:rsidRDefault="00FC6FDB" w:rsidP="00397D36">
      <w:pPr>
        <w:rPr>
          <w:b/>
        </w:rPr>
      </w:pPr>
    </w:p>
    <w:p w:rsidR="00FC6FDB" w:rsidRDefault="00FC6FDB" w:rsidP="00397D36">
      <w:pPr>
        <w:rPr>
          <w:b/>
        </w:rPr>
      </w:pPr>
    </w:p>
    <w:p w:rsidR="00FC6FDB" w:rsidRDefault="00FC6FDB" w:rsidP="00397D36">
      <w:pPr>
        <w:rPr>
          <w:b/>
        </w:rPr>
      </w:pPr>
    </w:p>
    <w:p w:rsidR="00CC7E70" w:rsidRDefault="00CC7E70" w:rsidP="00397D36">
      <w:r>
        <w:rPr>
          <w:b/>
        </w:rPr>
        <w:lastRenderedPageBreak/>
        <w:t>NVIDIA GTX 1080</w:t>
      </w:r>
    </w:p>
    <w:p w:rsidR="00CC7E70" w:rsidRDefault="00CC7E70" w:rsidP="00CC7E70">
      <w:pPr>
        <w:rPr>
          <w:b/>
        </w:rPr>
      </w:pPr>
      <w:r w:rsidRPr="00CC7E70">
        <w:t>La nueva estrella de la gama NVIDIA, la GeForce GTX 1080, es la tarjeta gráfica de gaming más avanzada jamás creada. Descubre un rendimiento, eficiencia energética y experiencia de juego sin precedentes gracias a la nueva arquitectura </w:t>
      </w:r>
      <w:hyperlink r:id="rId16" w:history="1">
        <w:r w:rsidRPr="00CC7E70">
          <w:rPr>
            <w:rStyle w:val="Hipervnculo"/>
          </w:rPr>
          <w:t>NVIDIA Pascal™</w:t>
        </w:r>
      </w:hyperlink>
      <w:r w:rsidRPr="00CC7E70">
        <w:t>. Es la plataforma de gaming definitiva</w:t>
      </w:r>
      <w:r>
        <w:t xml:space="preserve">. </w:t>
      </w:r>
      <w:r w:rsidRPr="00397D36">
        <w:t>.</w:t>
      </w:r>
      <w:r>
        <w:t xml:space="preserve"> Este producto está al precio de </w:t>
      </w:r>
      <w:r w:rsidRPr="00FC6FDB">
        <w:rPr>
          <w:b/>
        </w:rPr>
        <w:t>829 €.</w:t>
      </w:r>
    </w:p>
    <w:p w:rsidR="00FC6FDB" w:rsidRPr="00CC7E70" w:rsidRDefault="00FC6FDB" w:rsidP="00CC7E70">
      <w:r>
        <w:rPr>
          <w:noProof/>
          <w:lang w:eastAsia="es-ES"/>
        </w:rPr>
        <w:drawing>
          <wp:inline distT="0" distB="0" distL="0" distR="0">
            <wp:extent cx="2722245" cy="1680210"/>
            <wp:effectExtent l="0" t="0" r="1905" b="0"/>
            <wp:docPr id="11" name="Imagen 11" descr="C:\Users\alumnado\AppData\Local\Microsoft\Windows\INetCache\Content.MSO\C80273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umnado\AppData\Local\Microsoft\Windows\INetCache\Content.MSO\C80273C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2245" cy="1680210"/>
                    </a:xfrm>
                    <a:prstGeom prst="rect">
                      <a:avLst/>
                    </a:prstGeom>
                    <a:noFill/>
                    <a:ln>
                      <a:noFill/>
                    </a:ln>
                  </pic:spPr>
                </pic:pic>
              </a:graphicData>
            </a:graphic>
          </wp:inline>
        </w:drawing>
      </w:r>
    </w:p>
    <w:p w:rsidR="00397D36" w:rsidRPr="00397D36" w:rsidRDefault="00397D36" w:rsidP="00332C22">
      <w:pPr>
        <w:rPr>
          <w:b/>
        </w:rPr>
      </w:pPr>
    </w:p>
    <w:p w:rsidR="00332C22" w:rsidRDefault="00F12EB7" w:rsidP="00332C22">
      <w:r>
        <w:fldChar w:fldCharType="begin"/>
      </w:r>
      <w:r>
        <w:instrText xml:space="preserve"> MERGEFIELD Despedida </w:instrText>
      </w:r>
      <w:r>
        <w:fldChar w:fldCharType="separate"/>
      </w:r>
      <w:r w:rsidR="000B07A8">
        <w:rPr>
          <w:noProof/>
        </w:rPr>
        <w:t>«Despedida»</w:t>
      </w:r>
      <w:r>
        <w:fldChar w:fldCharType="end"/>
      </w:r>
    </w:p>
    <w:p w:rsidR="00D82129" w:rsidRDefault="00FC6FDB" w:rsidP="00332C22">
      <w:r>
        <w:t>Jaime, e</w:t>
      </w:r>
      <w:r w:rsidR="00D82129">
        <w:t>quipo de NVIDIA</w:t>
      </w:r>
      <w:r>
        <w:t>.</w:t>
      </w:r>
    </w:p>
    <w:p w:rsidR="00332C22" w:rsidRPr="00332C22" w:rsidRDefault="00332C22" w:rsidP="00332C22">
      <w:pPr>
        <w:jc w:val="center"/>
      </w:pPr>
    </w:p>
    <w:sectPr w:rsidR="00332C22" w:rsidRPr="00332C22" w:rsidSect="00FC6FDB">
      <w:pgSz w:w="11906" w:h="16838"/>
      <w:pgMar w:top="1417" w:right="1701" w:bottom="1417" w:left="1701" w:header="708" w:footer="708" w:gutter="0"/>
      <w:pgBorders w:offsetFrom="page">
        <w:top w:val="single" w:sz="4" w:space="24" w:color="auto"/>
        <w:left w:val="threeDEmboss" w:sz="18" w:space="24" w:color="00B050"/>
        <w:bottom w:val="threeDEmboss" w:sz="18" w:space="24" w:color="00B050"/>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5E8" w:rsidRDefault="006B05E8" w:rsidP="00332C22">
      <w:pPr>
        <w:spacing w:after="0" w:line="240" w:lineRule="auto"/>
      </w:pPr>
      <w:r>
        <w:separator/>
      </w:r>
    </w:p>
  </w:endnote>
  <w:endnote w:type="continuationSeparator" w:id="0">
    <w:p w:rsidR="006B05E8" w:rsidRDefault="006B05E8" w:rsidP="0033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5E8" w:rsidRDefault="006B05E8" w:rsidP="00332C22">
      <w:pPr>
        <w:spacing w:after="0" w:line="240" w:lineRule="auto"/>
      </w:pPr>
      <w:r>
        <w:separator/>
      </w:r>
    </w:p>
  </w:footnote>
  <w:footnote w:type="continuationSeparator" w:id="0">
    <w:p w:rsidR="006B05E8" w:rsidRDefault="006B05E8" w:rsidP="00332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ailMerge>
    <w:mainDocumentType w:val="formLetters"/>
    <w:linkToQuery/>
    <w:dataType w:val="native"/>
    <w:connectString w:val="Provider=Microsoft.ACE.OLEDB.12.0;User ID=Admin;Data Source=C:\Users\alumnado\Documents\Mis archivos de origen de datos\Debere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alumnado\Documents\Mis archivos de origen de datos\Debere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s-ES"/>
      </w:fieldMapData>
      <w:fieldMapData>
        <w:lid w:val="es-ES"/>
      </w:fieldMapData>
      <w:fieldMapData>
        <w:type w:val="dbColumn"/>
        <w:name w:val="Nombre"/>
        <w:mappedName w:val="Nombre"/>
        <w:column w:val="1"/>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type w:val="dbColumn"/>
        <w:name w:val="Dirección"/>
        <w:mappedName w:val="Dirección 1"/>
        <w:column w:val="2"/>
        <w:lid w:val="es-ES"/>
      </w:fieldMapData>
      <w:fieldMapData>
        <w:lid w:val="es-ES"/>
      </w:fieldMapData>
      <w:fieldMapData>
        <w:lid w:val="es-ES"/>
      </w:fieldMapData>
      <w:fieldMapData>
        <w:lid w:val="es-ES"/>
      </w:fieldMapData>
      <w:fieldMapData>
        <w:type w:val="dbColumn"/>
        <w:name w:val="Código postal"/>
        <w:mappedName w:val="Código postal"/>
        <w:column w:val="4"/>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18"/>
    <w:rsid w:val="000B07A8"/>
    <w:rsid w:val="000E1918"/>
    <w:rsid w:val="001F6FFC"/>
    <w:rsid w:val="00332C22"/>
    <w:rsid w:val="00397D36"/>
    <w:rsid w:val="00424B23"/>
    <w:rsid w:val="006B05E8"/>
    <w:rsid w:val="00735EBC"/>
    <w:rsid w:val="00AD2871"/>
    <w:rsid w:val="00C31DC7"/>
    <w:rsid w:val="00CC7E70"/>
    <w:rsid w:val="00D82129"/>
    <w:rsid w:val="00F12EB7"/>
    <w:rsid w:val="00FC236C"/>
    <w:rsid w:val="00FC6F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13B7"/>
  <w15:chartTrackingRefBased/>
  <w15:docId w15:val="{C33719F4-BAD2-428B-9CC0-72126373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5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35EB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2C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2C22"/>
  </w:style>
  <w:style w:type="paragraph" w:styleId="Piedepgina">
    <w:name w:val="footer"/>
    <w:basedOn w:val="Normal"/>
    <w:link w:val="PiedepginaCar"/>
    <w:uiPriority w:val="99"/>
    <w:unhideWhenUsed/>
    <w:rsid w:val="00332C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2C22"/>
  </w:style>
  <w:style w:type="character" w:styleId="Hipervnculo">
    <w:name w:val="Hyperlink"/>
    <w:basedOn w:val="Fuentedeprrafopredeter"/>
    <w:uiPriority w:val="99"/>
    <w:unhideWhenUsed/>
    <w:rsid w:val="00F12EB7"/>
    <w:rPr>
      <w:color w:val="0563C1" w:themeColor="hyperlink"/>
      <w:u w:val="single"/>
    </w:rPr>
  </w:style>
  <w:style w:type="character" w:customStyle="1" w:styleId="Ttulo2Car">
    <w:name w:val="Título 2 Car"/>
    <w:basedOn w:val="Fuentedeprrafopredeter"/>
    <w:link w:val="Ttulo2"/>
    <w:uiPriority w:val="9"/>
    <w:rsid w:val="00735EBC"/>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735EBC"/>
    <w:rPr>
      <w:rFonts w:asciiTheme="majorHAnsi" w:eastAsiaTheme="majorEastAsia" w:hAnsiTheme="majorHAnsi" w:cstheme="majorBidi"/>
      <w:color w:val="2E74B5" w:themeColor="accent1" w:themeShade="BF"/>
      <w:sz w:val="32"/>
      <w:szCs w:val="32"/>
    </w:rPr>
  </w:style>
  <w:style w:type="paragraph" w:customStyle="1" w:styleId="lead">
    <w:name w:val="lead"/>
    <w:basedOn w:val="Normal"/>
    <w:rsid w:val="00735EB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397D3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448067">
      <w:bodyDiv w:val="1"/>
      <w:marLeft w:val="0"/>
      <w:marRight w:val="0"/>
      <w:marTop w:val="0"/>
      <w:marBottom w:val="0"/>
      <w:divBdr>
        <w:top w:val="none" w:sz="0" w:space="0" w:color="auto"/>
        <w:left w:val="none" w:sz="0" w:space="0" w:color="auto"/>
        <w:bottom w:val="none" w:sz="0" w:space="0" w:color="auto"/>
        <w:right w:val="none" w:sz="0" w:space="0" w:color="auto"/>
      </w:divBdr>
    </w:div>
    <w:div w:id="416948962">
      <w:bodyDiv w:val="1"/>
      <w:marLeft w:val="0"/>
      <w:marRight w:val="0"/>
      <w:marTop w:val="0"/>
      <w:marBottom w:val="0"/>
      <w:divBdr>
        <w:top w:val="none" w:sz="0" w:space="0" w:color="auto"/>
        <w:left w:val="none" w:sz="0" w:space="0" w:color="auto"/>
        <w:bottom w:val="none" w:sz="0" w:space="0" w:color="auto"/>
        <w:right w:val="none" w:sz="0" w:space="0" w:color="auto"/>
      </w:divBdr>
    </w:div>
    <w:div w:id="1297183373">
      <w:bodyDiv w:val="1"/>
      <w:marLeft w:val="0"/>
      <w:marRight w:val="0"/>
      <w:marTop w:val="0"/>
      <w:marBottom w:val="0"/>
      <w:divBdr>
        <w:top w:val="none" w:sz="0" w:space="0" w:color="auto"/>
        <w:left w:val="none" w:sz="0" w:space="0" w:color="auto"/>
        <w:bottom w:val="none" w:sz="0" w:space="0" w:color="auto"/>
        <w:right w:val="none" w:sz="0" w:space="0" w:color="auto"/>
      </w:divBdr>
      <w:divsChild>
        <w:div w:id="96487624">
          <w:marLeft w:val="0"/>
          <w:marRight w:val="0"/>
          <w:marTop w:val="0"/>
          <w:marBottom w:val="0"/>
          <w:divBdr>
            <w:top w:val="none" w:sz="0" w:space="0" w:color="auto"/>
            <w:left w:val="none" w:sz="0" w:space="0" w:color="auto"/>
            <w:bottom w:val="none" w:sz="0" w:space="0" w:color="auto"/>
            <w:right w:val="none" w:sz="0" w:space="0" w:color="auto"/>
          </w:divBdr>
        </w:div>
      </w:divsChild>
    </w:div>
    <w:div w:id="1462529483">
      <w:bodyDiv w:val="1"/>
      <w:marLeft w:val="0"/>
      <w:marRight w:val="0"/>
      <w:marTop w:val="0"/>
      <w:marBottom w:val="0"/>
      <w:divBdr>
        <w:top w:val="none" w:sz="0" w:space="0" w:color="auto"/>
        <w:left w:val="none" w:sz="0" w:space="0" w:color="auto"/>
        <w:bottom w:val="none" w:sz="0" w:space="0" w:color="auto"/>
        <w:right w:val="none" w:sz="0" w:space="0" w:color="auto"/>
      </w:divBdr>
      <w:divsChild>
        <w:div w:id="1208178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vidia.com/es-es/geforce/tu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vidia.com/es-es/geforce/turi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nvidia.com/graphics-cards/geforce/pasca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alumnado\Documents\Mis%20archivos%20de%20origen%20de%20datos\Deberes.mdb" TargetMode="External"/><Relationship Id="rId1" Type="http://schemas.openxmlformats.org/officeDocument/2006/relationships/mailMergeSource" Target="file:///C:\Users\alumnado\Documents\Mis%20archivos%20de%20origen%20de%20datos\Deberes.m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4635-62A9-4E72-BA0D-23A02008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alumnado</dc:creator>
  <cp:keywords/>
  <dc:description/>
  <cp:lastModifiedBy>alumnado</cp:lastModifiedBy>
  <cp:revision>5</cp:revision>
  <dcterms:created xsi:type="dcterms:W3CDTF">2019-11-05T07:24:00Z</dcterms:created>
  <dcterms:modified xsi:type="dcterms:W3CDTF">2019-11-05T09:16:00Z</dcterms:modified>
</cp:coreProperties>
</file>