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ParkEasy UNAB — Sistema de control para el parqueadero de bicicletas y patinetas</w:t>
      </w:r>
    </w:p>
    <w:p>
      <w:r>
        <w:rPr>
          <w:b/>
        </w:rPr>
        <w:t>Universidad Autónoma de Bucaramanga · IoT + Cloud + Sistemas Distribuidos · Parcial 1 · 2026-II</w:t>
      </w:r>
    </w:p>
    <w:p>
      <w:pPr>
        <w:pStyle w:val="Heading2"/>
      </w:pPr>
      <w:r>
        <w:t>0. Portada</w:t>
      </w:r>
    </w:p>
    <w:p>
      <w:pPr>
        <w:jc w:val="center"/>
      </w:pPr>
      <w:r>
        <w:drawing>
          <wp:inline xmlns:a="http://schemas.openxmlformats.org/drawingml/2006/main" xmlns:pic="http://schemas.openxmlformats.org/drawingml/2006/picture">
            <wp:extent cx="5760720" cy="1664208"/>
            <wp:docPr id="1" name="Picture 1"/>
            <wp:cNvGraphicFramePr>
              <a:graphicFrameLocks noChangeAspect="1"/>
            </wp:cNvGraphicFramePr>
            <a:graphic>
              <a:graphicData uri="http://schemas.openxmlformats.org/drawingml/2006/picture">
                <pic:pic>
                  <pic:nvPicPr>
                    <pic:cNvPr id="0" name="logo_parkeasy_unab.png"/>
                    <pic:cNvPicPr/>
                  </pic:nvPicPr>
                  <pic:blipFill>
                    <a:blip r:embed="rId9"/>
                    <a:stretch>
                      <a:fillRect/>
                    </a:stretch>
                  </pic:blipFill>
                  <pic:spPr>
                    <a:xfrm>
                      <a:off x="0" y="0"/>
                      <a:ext cx="5760720" cy="1664208"/>
                    </a:xfrm>
                    <a:prstGeom prst="rect"/>
                  </pic:spPr>
                </pic:pic>
              </a:graphicData>
            </a:graphic>
          </wp:inline>
        </w:drawing>
      </w:r>
    </w:p>
    <w:p>
      <w:pPr>
        <w:jc w:val="center"/>
      </w:pPr>
      <w:r>
        <w:rPr>
          <w:i/>
          <w:sz w:val="18"/>
        </w:rPr>
        <w:t>Logo ParkEasy UNAB</w:t>
      </w:r>
    </w:p>
    <w:p>
      <w:pPr>
        <w:pStyle w:val="ListBullet"/>
      </w:pPr>
      <w:r>
        <w:t xml:space="preserve">Proyecto: </w:t>
      </w:r>
      <w:r>
        <w:rPr>
          <w:b/>
        </w:rPr>
        <w:t>ParkEasy UNAB</w:t>
      </w:r>
    </w:p>
    <w:p>
      <w:pPr>
        <w:pStyle w:val="ListBullet"/>
      </w:pPr>
      <w:r>
        <w:t>Escenario: 5.5 — Parqueo de bicicletas y patinetas UNAB</w:t>
      </w:r>
    </w:p>
    <w:p>
      <w:pPr>
        <w:pStyle w:val="ListBullet"/>
      </w:pPr>
      <w:r>
        <w:t>Grupo: Jaime Alejandro Vega Barbosa (U00178766), Juan Sebastián Jiménez Daza (U00177874)</w:t>
      </w:r>
    </w:p>
    <w:p>
      <w:pPr>
        <w:pStyle w:val="ListBullet"/>
      </w:pPr>
      <w:r>
        <w:t>Fecha de entrega: 2026-09-27</w:t>
      </w:r>
    </w:p>
    <w:p>
      <w:pPr>
        <w:pStyle w:val="Heading2"/>
      </w:pPr>
      <w:r>
        <w:t>1. Historial de versiones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Fecha</w:t>
            </w:r>
          </w:p>
        </w:tc>
        <w:tc>
          <w:tcPr>
            <w:tcW w:type="dxa" w:w="1728"/>
          </w:tcPr>
          <w:p>
            <w:r>
              <w:rPr>
                <w:b/>
              </w:rPr>
            </w:r>
            <w:r>
              <w:rPr>
                <w:b/>
              </w:rPr>
              <w:t>Autor</w:t>
            </w:r>
          </w:p>
        </w:tc>
        <w:tc>
          <w:tcPr>
            <w:tcW w:type="dxa" w:w="1728"/>
          </w:tcPr>
          <w:p>
            <w:r>
              <w:rPr>
                <w:b/>
              </w:rPr>
            </w:r>
            <w:r>
              <w:rPr>
                <w:b/>
              </w:rPr>
              <w:t>Cambio</w:t>
            </w:r>
          </w:p>
        </w:tc>
        <w:tc>
          <w:tcPr>
            <w:tcW w:type="dxa" w:w="1728"/>
          </w:tcPr>
          <w:p>
            <w:r>
              <w:rPr>
                <w:b/>
              </w:rPr>
            </w:r>
            <w:r>
              <w:rPr>
                <w:b/>
              </w:rPr>
              <w:t>Versión Device Template</w:t>
            </w:r>
          </w:p>
        </w:tc>
        <w:tc>
          <w:tcPr>
            <w:tcW w:type="dxa" w:w="1728"/>
          </w:tcPr>
          <w:p>
            <w:r>
              <w:rPr>
                <w:b/>
              </w:rPr>
            </w:r>
            <w:r>
              <w:rPr>
                <w:b/>
              </w:rPr>
              <w:t>Versión scripts</w:t>
            </w:r>
          </w:p>
        </w:tc>
      </w:tr>
      <w:tr>
        <w:tc>
          <w:tcPr>
            <w:tcW w:type="dxa" w:w="1728"/>
          </w:tcPr>
          <w:p>
            <w:r/>
            <w:r>
              <w:t>2026-09-27</w:t>
            </w:r>
          </w:p>
        </w:tc>
        <w:tc>
          <w:tcPr>
            <w:tcW w:type="dxa" w:w="1728"/>
          </w:tcPr>
          <w:p>
            <w:r/>
            <w:r>
              <w:t>Jaime Vega, Juan Jiménez</w:t>
            </w:r>
          </w:p>
        </w:tc>
        <w:tc>
          <w:tcPr>
            <w:tcW w:type="dxa" w:w="1728"/>
          </w:tcPr>
          <w:p>
            <w:r/>
            <w:r>
              <w:t>Creación del escenario, catálogo de 10 dispositivos y DTDL v1</w:t>
            </w:r>
          </w:p>
        </w:tc>
        <w:tc>
          <w:tcPr>
            <w:tcW w:type="dxa" w:w="1728"/>
          </w:tcPr>
          <w:p>
            <w:r/>
            <w:r>
              <w:t>ParkingSlot v1, StationTotem v1, EnvironmentalNode v1, EnergyPanel v1, PerimeterNode v1, SessionGateway v1</w:t>
            </w:r>
          </w:p>
        </w:tc>
        <w:tc>
          <w:tcPr>
            <w:tcW w:type="dxa" w:w="1728"/>
          </w:tcPr>
          <w:p>
            <w:r/>
            <w:r>
              <w:t>v1.0.0</w:t>
            </w:r>
          </w:p>
        </w:tc>
      </w:tr>
    </w:tbl>
    <w:p/>
    <w:p>
      <w:pPr>
        <w:ind w:left="432"/>
      </w:pPr>
      <w:r>
        <w:rPr>
          <w:b/>
          <w:i/>
        </w:rPr>
        <w:t>Nota de alcance y transparencia.</w:t>
      </w:r>
      <w:r>
        <w:rPr>
          <w:i/>
        </w:rPr>
        <w:t xml:space="preserve"> Por restricción de tiempo de entrega, la ventana de observación de este corte fue de 2026-09-27, aprox. 17:30 a 20:05 (America/Bogota, ≈ 2,5 horas), en lugar de los 4 días no continuos que pide el enunciado. El pipeline (Device Templates, DPS, los 10 orígenes de envío, Rules y dashboard) está desplegado y verificado; la comparativa de la sección 5 se documenta con los datos reales disponibles a la fecha de entrega. Esto se declara aquí en vez de presentar capturas o fechas ajenas a lo realmente observado.</w:t>
      </w:r>
      <w:r>
        <w:rPr>
          <w:b/>
          <w:i/>
        </w:rPr>
      </w:r>
      <w:r>
        <w:rPr>
          <w:i/>
        </w:rPr>
      </w:r>
    </w:p>
    <w:p>
      <w:pPr>
        <w:pStyle w:val="Heading2"/>
      </w:pPr>
      <w:r>
        <w:t>2. Arquitectura de referencia</w:t>
      </w:r>
    </w:p>
    <w:p>
      <w:r>
        <w:rPr>
          <w:b/>
        </w:rPr>
        <w:t>Capas:</w:t>
      </w:r>
    </w:p>
    <w:p>
      <w:pPr>
        <w:pStyle w:val="ListNumber"/>
      </w:pPr>
      <w:r>
        <w:rPr>
          <w:b/>
        </w:rPr>
        <w:t>Dispositivo:</w:t>
      </w:r>
      <w:r>
        <w:t xml:space="preserve"> 10 nodos lógicos (slots de parqueo, tótem, clima, calidad de aire, tablero de energía, perímetro, pasarela de sesión), física o virtualmente representados sobre ESP32 (Wokwi), scripts Python y el simulador nativo de IoT Central.</w:t>
      </w:r>
    </w:p>
    <w:p>
      <w:pPr>
        <w:pStyle w:val="ListNumber"/>
      </w:pPr>
      <w:r>
        <w:rPr>
          <w:b/>
        </w:rPr>
        <w:t>Red:</w:t>
      </w:r>
      <w:r>
        <w:t xml:space="preserve"> Wi-Fi de campus / Wokwi-GUEST para los nodos ESP32; conexión LAN/Wi-Fi de laptop para los scripts Python. TLS 1.2 obligatorio, puerto </w:t>
      </w:r>
      <w:r>
        <w:rPr>
          <w:b/>
        </w:rPr>
        <w:t>8883</w:t>
      </w:r>
      <w:r>
        <w:t xml:space="preserve"> (MQTT) para la mayoría de orígenes y puerto </w:t>
      </w:r>
      <w:r>
        <w:rPr>
          <w:b/>
        </w:rPr>
        <w:t>443</w:t>
      </w:r>
      <w:r>
        <w:t xml:space="preserve"> (MQTT sobre WebSockets) para dev10, pensado como alternativa cuando 8883 esté bloqueado en redes universitarias restrictivas.</w:t>
      </w:r>
    </w:p>
    <w:p>
      <w:pPr>
        <w:pStyle w:val="ListNumber"/>
      </w:pPr>
      <w:r>
        <w:rPr>
          <w:b/>
        </w:rPr>
        <w:t>Plataforma:</w:t>
      </w:r>
      <w:r>
        <w:t xml:space="preserve"> Azure IoT Central (aplicación "ParkEasy UNAB"), Device Provisioning Service (DPS) para el enrollment de grupo por clave simétrica derivada, Digital Twin / Device Templates DTDL v2.</w:t>
      </w:r>
    </w:p>
    <w:p>
      <w:pPr>
        <w:pStyle w:val="ListNumber"/>
      </w:pPr>
      <w:r>
        <w:rPr>
          <w:b/>
        </w:rPr>
        <w:t>Operación:</w:t>
      </w:r>
      <w:r>
        <w:t xml:space="preserve"> Views por dispositivo, Rules (umbral de ocupación, alerta de desconexión, alerta de temperatura de conector), Dashboard "Control Room" personalizado.</w:t>
      </w:r>
    </w:p>
    <w:p>
      <w:pPr>
        <w:jc w:val="center"/>
      </w:pPr>
      <w:r>
        <w:drawing>
          <wp:inline xmlns:a="http://schemas.openxmlformats.org/drawingml/2006/main" xmlns:pic="http://schemas.openxmlformats.org/drawingml/2006/picture">
            <wp:extent cx="5760720" cy="4114800"/>
            <wp:docPr id="2" name="Picture 2"/>
            <wp:cNvGraphicFramePr>
              <a:graphicFrameLocks noChangeAspect="1"/>
            </wp:cNvGraphicFramePr>
            <a:graphic>
              <a:graphicData uri="http://schemas.openxmlformats.org/drawingml/2006/picture">
                <pic:pic>
                  <pic:nvPicPr>
                    <pic:cNvPr id="0" name="arquitectura_referencia.png"/>
                    <pic:cNvPicPr/>
                  </pic:nvPicPr>
                  <pic:blipFill>
                    <a:blip r:embed="rId10"/>
                    <a:stretch>
                      <a:fillRect/>
                    </a:stretch>
                  </pic:blipFill>
                  <pic:spPr>
                    <a:xfrm>
                      <a:off x="0" y="0"/>
                      <a:ext cx="5760720" cy="4114800"/>
                    </a:xfrm>
                    <a:prstGeom prst="rect"/>
                  </pic:spPr>
                </pic:pic>
              </a:graphicData>
            </a:graphic>
          </wp:inline>
        </w:drawing>
      </w:r>
    </w:p>
    <w:p>
      <w:pPr>
        <w:jc w:val="center"/>
      </w:pPr>
      <w:r>
        <w:rPr>
          <w:i/>
          <w:sz w:val="18"/>
        </w:rPr>
        <w:t>Arquitectura de referencia ParkEasy UNAB</w:t>
      </w:r>
    </w:p>
    <w:p>
      <w:pPr>
        <w:pStyle w:val="Heading2"/>
      </w:pPr>
      <w:r>
        <w:t>3. Catálogo de 10 dispositivos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ID en Central</w:t>
            </w:r>
          </w:p>
        </w:tc>
        <w:tc>
          <w:tcPr>
            <w:tcW w:type="dxa" w:w="1234"/>
          </w:tcPr>
          <w:p>
            <w:r>
              <w:rPr>
                <w:b/>
              </w:rPr>
            </w:r>
            <w:r>
              <w:rPr>
                <w:b/>
              </w:rPr>
              <w:t>Zona / rol</w:t>
            </w:r>
          </w:p>
        </w:tc>
        <w:tc>
          <w:tcPr>
            <w:tcW w:type="dxa" w:w="1234"/>
          </w:tcPr>
          <w:p>
            <w:r>
              <w:rPr>
                <w:b/>
              </w:rPr>
            </w:r>
            <w:r>
              <w:rPr>
                <w:b/>
              </w:rPr>
              <w:t>Origen de envío</w:t>
            </w:r>
          </w:p>
        </w:tc>
        <w:tc>
          <w:tcPr>
            <w:tcW w:type="dxa" w:w="1234"/>
          </w:tcPr>
          <w:p>
            <w:r>
              <w:rPr>
                <w:b/>
              </w:rPr>
            </w:r>
            <w:r>
              <w:rPr>
                <w:b/>
              </w:rPr>
              <w:t>Protocolo</w:t>
            </w:r>
          </w:p>
        </w:tc>
        <w:tc>
          <w:tcPr>
            <w:tcW w:type="dxa" w:w="1234"/>
          </w:tcPr>
          <w:p>
            <w:r>
              <w:rPr>
                <w:b/>
              </w:rPr>
            </w:r>
            <w:r>
              <w:rPr>
                <w:b/>
              </w:rPr>
              <w:t>Intervalo</w:t>
            </w:r>
          </w:p>
        </w:tc>
        <w:tc>
          <w:tcPr>
            <w:tcW w:type="dxa" w:w="1234"/>
          </w:tcPr>
          <w:p>
            <w:r>
              <w:rPr>
                <w:b/>
              </w:rPr>
            </w:r>
            <w:r>
              <w:rPr>
                <w:b/>
              </w:rPr>
              <w:t>Variables</w:t>
            </w:r>
          </w:p>
        </w:tc>
        <w:tc>
          <w:tcPr>
            <w:tcW w:type="dxa" w:w="1234"/>
          </w:tcPr>
          <w:p>
            <w:r>
              <w:rPr>
                <w:b/>
              </w:rPr>
            </w:r>
            <w:r>
              <w:rPr>
                <w:b/>
              </w:rPr>
              <w:t>Datasheet citado</w:t>
            </w:r>
          </w:p>
        </w:tc>
      </w:tr>
      <w:tr>
        <w:tc>
          <w:tcPr>
            <w:tcW w:type="dxa" w:w="1234"/>
          </w:tcPr>
          <w:p>
            <w:r/>
            <w:r>
              <w:t>dev01-slot1</w:t>
            </w:r>
          </w:p>
        </w:tc>
        <w:tc>
          <w:tcPr>
            <w:tcW w:type="dxa" w:w="1234"/>
          </w:tcPr>
          <w:p>
            <w:r/>
            <w:r>
              <w:t>Slot 1 — seguro y ocupación</w:t>
            </w:r>
          </w:p>
        </w:tc>
        <w:tc>
          <w:tcPr>
            <w:tcW w:type="dxa" w:w="1234"/>
          </w:tcPr>
          <w:p>
            <w:r/>
            <w:r>
              <w:t>Digital Twin / simulador nativo</w:t>
            </w:r>
          </w:p>
        </w:tc>
        <w:tc>
          <w:tcPr>
            <w:tcW w:type="dxa" w:w="1234"/>
          </w:tcPr>
          <w:p>
            <w:r/>
            <w:r>
              <w:t>MQTT (IoT Central interno)</w:t>
            </w:r>
          </w:p>
        </w:tc>
        <w:tc>
          <w:tcPr>
            <w:tcW w:type="dxa" w:w="1234"/>
          </w:tcPr>
          <w:p>
            <w:r/>
            <w:r>
              <w:t>60 s</w:t>
            </w:r>
          </w:p>
        </w:tc>
        <w:tc>
          <w:tcPr>
            <w:tcW w:type="dxa" w:w="1234"/>
          </w:tcPr>
          <w:p>
            <w:r/>
            <w:r>
              <w:t>lock_state, ocupado, temp_slot</w:t>
            </w:r>
          </w:p>
        </w:tc>
        <w:tc>
          <w:tcPr>
            <w:tcW w:type="dxa" w:w="1234"/>
          </w:tcPr>
          <w:p>
            <w:r/>
            <w:r>
              <w:t>Plantilla propia (sin sensor físico)</w:t>
            </w:r>
          </w:p>
        </w:tc>
      </w:tr>
      <w:tr>
        <w:tc>
          <w:tcPr>
            <w:tcW w:type="dxa" w:w="1234"/>
          </w:tcPr>
          <w:p>
            <w:r/>
            <w:r>
              <w:t>dev02-slot2-carga</w:t>
            </w:r>
          </w:p>
        </w:tc>
        <w:tc>
          <w:tcPr>
            <w:tcW w:type="dxa" w:w="1234"/>
          </w:tcPr>
          <w:p>
            <w:r/>
            <w:r>
              <w:t>Slot 2 — carga</w:t>
            </w:r>
          </w:p>
        </w:tc>
        <w:tc>
          <w:tcPr>
            <w:tcW w:type="dxa" w:w="1234"/>
          </w:tcPr>
          <w:p>
            <w:r/>
            <w:r>
              <w:t>Cliente MQTT explícito (paho-mqtt)</w:t>
            </w:r>
          </w:p>
        </w:tc>
        <w:tc>
          <w:tcPr>
            <w:tcW w:type="dxa" w:w="1234"/>
          </w:tcPr>
          <w:p>
            <w:r/>
            <w:r>
              <w:t>MQTT/TLS 8883</w:t>
            </w:r>
          </w:p>
        </w:tc>
        <w:tc>
          <w:tcPr>
            <w:tcW w:type="dxa" w:w="1234"/>
          </w:tcPr>
          <w:p>
            <w:r/>
            <w:r>
              <w:t>60 s</w:t>
            </w:r>
          </w:p>
        </w:tc>
        <w:tc>
          <w:tcPr>
            <w:tcW w:type="dxa" w:w="1234"/>
          </w:tcPr>
          <w:p>
            <w:r/>
            <w:r>
              <w:t>estado_carga, corriente_a, ocupado</w:t>
            </w:r>
          </w:p>
        </w:tc>
        <w:tc>
          <w:tcPr>
            <w:tcW w:type="dxa" w:w="1234"/>
          </w:tcPr>
          <w:p>
            <w:r/>
            <w:r>
              <w:t>Módulo de carga TP4056 (datasheet fabricante)</w:t>
            </w:r>
          </w:p>
        </w:tc>
      </w:tr>
      <w:tr>
        <w:tc>
          <w:tcPr>
            <w:tcW w:type="dxa" w:w="1234"/>
          </w:tcPr>
          <w:p>
            <w:r/>
            <w:r>
              <w:t>dev03-slot3</w:t>
            </w:r>
          </w:p>
        </w:tc>
        <w:tc>
          <w:tcPr>
            <w:tcW w:type="dxa" w:w="1234"/>
          </w:tcPr>
          <w:p>
            <w:r/>
            <w:r>
              <w:t>Slot 3 — seguro y ocupación</w:t>
            </w:r>
          </w:p>
        </w:tc>
        <w:tc>
          <w:tcPr>
            <w:tcW w:type="dxa" w:w="1234"/>
          </w:tcPr>
          <w:p>
            <w:r/>
            <w:r>
              <w:t>Python (azure-iot-device, DPS)</w:t>
            </w:r>
          </w:p>
        </w:tc>
        <w:tc>
          <w:tcPr>
            <w:tcW w:type="dxa" w:w="1234"/>
          </w:tcPr>
          <w:p>
            <w:r/>
            <w:r>
              <w:t>MQTT/TLS 8883</w:t>
            </w:r>
          </w:p>
        </w:tc>
        <w:tc>
          <w:tcPr>
            <w:tcW w:type="dxa" w:w="1234"/>
          </w:tcPr>
          <w:p>
            <w:r/>
            <w:r>
              <w:t>15 s</w:t>
            </w:r>
          </w:p>
        </w:tc>
        <w:tc>
          <w:tcPr>
            <w:tcW w:type="dxa" w:w="1234"/>
          </w:tcPr>
          <w:p>
            <w:r/>
            <w:r>
              <w:t>lock_state, ocupado, lux</w:t>
            </w:r>
          </w:p>
        </w:tc>
        <w:tc>
          <w:tcPr>
            <w:tcW w:type="dxa" w:w="1234"/>
          </w:tcPr>
          <w:p>
            <w:r/>
            <w:r>
              <w:t>Cerradura electromagnética 12V + LDR GL5528</w:t>
            </w:r>
          </w:p>
        </w:tc>
      </w:tr>
      <w:tr>
        <w:tc>
          <w:tcPr>
            <w:tcW w:type="dxa" w:w="1234"/>
          </w:tcPr>
          <w:p>
            <w:r/>
            <w:r>
              <w:t>dev04-slot4-carga</w:t>
            </w:r>
          </w:p>
        </w:tc>
        <w:tc>
          <w:tcPr>
            <w:tcW w:type="dxa" w:w="1234"/>
          </w:tcPr>
          <w:p>
            <w:r/>
            <w:r>
              <w:t>Slot 4 — carga rápida</w:t>
            </w:r>
          </w:p>
        </w:tc>
        <w:tc>
          <w:tcPr>
            <w:tcW w:type="dxa" w:w="1234"/>
          </w:tcPr>
          <w:p>
            <w:r/>
            <w:r>
              <w:t>Wokwi (ESP32 virtual)</w:t>
            </w:r>
          </w:p>
        </w:tc>
        <w:tc>
          <w:tcPr>
            <w:tcW w:type="dxa" w:w="1234"/>
          </w:tcPr>
          <w:p>
            <w:r/>
            <w:r>
              <w:t>MQTT/TLS 8883</w:t>
            </w:r>
          </w:p>
        </w:tc>
        <w:tc>
          <w:tcPr>
            <w:tcW w:type="dxa" w:w="1234"/>
          </w:tcPr>
          <w:p>
            <w:r/>
            <w:r>
              <w:t>15 s</w:t>
            </w:r>
          </w:p>
        </w:tc>
        <w:tc>
          <w:tcPr>
            <w:tcW w:type="dxa" w:w="1234"/>
          </w:tcPr>
          <w:p>
            <w:r/>
            <w:r>
              <w:t>soc_estimado, potencia_w, temp_conector</w:t>
            </w:r>
          </w:p>
        </w:tc>
        <w:tc>
          <w:tcPr>
            <w:tcW w:type="dxa" w:w="1234"/>
          </w:tcPr>
          <w:p>
            <w:r/>
            <w:r>
              <w:t>DHT22 + NTC 10K (datasheets Aosong / EPCOS)</w:t>
            </w:r>
          </w:p>
        </w:tc>
      </w:tr>
      <w:tr>
        <w:tc>
          <w:tcPr>
            <w:tcW w:type="dxa" w:w="1234"/>
          </w:tcPr>
          <w:p>
            <w:r/>
            <w:r>
              <w:t>dev05-totem</w:t>
            </w:r>
          </w:p>
        </w:tc>
        <w:tc>
          <w:tcPr>
            <w:tcW w:type="dxa" w:w="1234"/>
          </w:tcPr>
          <w:p>
            <w:r/>
            <w:r>
              <w:t>Tótem de estación</w:t>
            </w:r>
          </w:p>
        </w:tc>
        <w:tc>
          <w:tcPr>
            <w:tcW w:type="dxa" w:w="1234"/>
          </w:tcPr>
          <w:p>
            <w:r/>
            <w:r>
              <w:t>Puente HTTP/REST</w:t>
            </w:r>
          </w:p>
        </w:tc>
        <w:tc>
          <w:tcPr>
            <w:tcW w:type="dxa" w:w="1234"/>
          </w:tcPr>
          <w:p>
            <w:r/>
            <w:r>
              <w:t>HTTPS → MQTT (reenvío)</w:t>
            </w:r>
          </w:p>
        </w:tc>
        <w:tc>
          <w:tcPr>
            <w:tcW w:type="dxa" w:w="1234"/>
          </w:tcPr>
          <w:p>
            <w:r/>
            <w:r>
              <w:t>Evento + heartbeat 30 s</w:t>
            </w:r>
          </w:p>
        </w:tc>
        <w:tc>
          <w:tcPr>
            <w:tcW w:type="dxa" w:w="1234"/>
          </w:tcPr>
          <w:p>
            <w:r/>
            <w:r>
              <w:t>cupos_libres, cupos_totales, lock_maestro</w:t>
            </w:r>
          </w:p>
        </w:tc>
        <w:tc>
          <w:tcPr>
            <w:tcW w:type="dxa" w:w="1234"/>
          </w:tcPr>
          <w:p>
            <w:r/>
            <w:r>
              <w:t>Controlador propietario simulado</w:t>
            </w:r>
          </w:p>
        </w:tc>
      </w:tr>
      <w:tr>
        <w:tc>
          <w:tcPr>
            <w:tcW w:type="dxa" w:w="1234"/>
          </w:tcPr>
          <w:p>
            <w:r/>
            <w:r>
              <w:t>dev06-clima</w:t>
            </w:r>
          </w:p>
        </w:tc>
        <w:tc>
          <w:tcPr>
            <w:tcW w:type="dxa" w:w="1234"/>
          </w:tcPr>
          <w:p>
            <w:r/>
            <w:r>
              <w:t>Clima del punto de parqueo</w:t>
            </w:r>
          </w:p>
        </w:tc>
        <w:tc>
          <w:tcPr>
            <w:tcW w:type="dxa" w:w="1234"/>
          </w:tcPr>
          <w:p>
            <w:r/>
            <w:r>
              <w:t>API pública (Open-Meteo)</w:t>
            </w:r>
          </w:p>
        </w:tc>
        <w:tc>
          <w:tcPr>
            <w:tcW w:type="dxa" w:w="1234"/>
          </w:tcPr>
          <w:p>
            <w:r/>
            <w:r>
              <w:t>HTTPS → MQTT (reenvío)</w:t>
            </w:r>
          </w:p>
        </w:tc>
        <w:tc>
          <w:tcPr>
            <w:tcW w:type="dxa" w:w="1234"/>
          </w:tcPr>
          <w:p>
            <w:r/>
            <w:r>
              <w:t>5 min (300 s)</w:t>
            </w:r>
          </w:p>
        </w:tc>
        <w:tc>
          <w:tcPr>
            <w:tcW w:type="dxa" w:w="1234"/>
          </w:tcPr>
          <w:p>
            <w:r/>
            <w:r>
              <w:t>temp_c, hr_pct, lluvia_mm</w:t>
            </w:r>
          </w:p>
        </w:tc>
        <w:tc>
          <w:tcPr>
            <w:tcW w:type="dxa" w:w="1234"/>
          </w:tcPr>
          <w:p>
            <w:r/>
            <w:r>
              <w:t>Estación virtual Open-Meteo (modelo ICON/GFS)</w:t>
            </w:r>
          </w:p>
        </w:tc>
      </w:tr>
      <w:tr>
        <w:tc>
          <w:tcPr>
            <w:tcW w:type="dxa" w:w="1234"/>
          </w:tcPr>
          <w:p>
            <w:r/>
            <w:r>
              <w:t>dev07-calidad-aire</w:t>
            </w:r>
          </w:p>
        </w:tc>
        <w:tc>
          <w:tcPr>
            <w:tcW w:type="dxa" w:w="1234"/>
          </w:tcPr>
          <w:p>
            <w:r/>
            <w:r>
              <w:t>Calidad de aire del andén</w:t>
            </w:r>
          </w:p>
        </w:tc>
        <w:tc>
          <w:tcPr>
            <w:tcW w:type="dxa" w:w="1234"/>
          </w:tcPr>
          <w:p>
            <w:r/>
            <w:r>
              <w:t>Atlas Weather (equivalente: Open-Meteo Air Quality)</w:t>
            </w:r>
          </w:p>
        </w:tc>
        <w:tc>
          <w:tcPr>
            <w:tcW w:type="dxa" w:w="1234"/>
          </w:tcPr>
          <w:p>
            <w:r/>
            <w:r>
              <w:t>HTTPS → MQTT (reenvío)</w:t>
            </w:r>
          </w:p>
        </w:tc>
        <w:tc>
          <w:tcPr>
            <w:tcW w:type="dxa" w:w="1234"/>
          </w:tcPr>
          <w:p>
            <w:r/>
            <w:r>
              <w:t>60 s</w:t>
            </w:r>
          </w:p>
        </w:tc>
        <w:tc>
          <w:tcPr>
            <w:tcW w:type="dxa" w:w="1234"/>
          </w:tcPr>
          <w:p>
            <w:r/>
            <w:r>
              <w:t>pm25, aqi</w:t>
            </w:r>
          </w:p>
        </w:tc>
        <w:tc>
          <w:tcPr>
            <w:tcW w:type="dxa" w:w="1234"/>
          </w:tcPr>
          <w:p>
            <w:r/>
            <w:r>
              <w:t>Sensor de referencia PM2.5 (equivalente Plantower PMS5003)</w:t>
            </w:r>
          </w:p>
        </w:tc>
      </w:tr>
      <w:tr>
        <w:tc>
          <w:tcPr>
            <w:tcW w:type="dxa" w:w="1234"/>
          </w:tcPr>
          <w:p>
            <w:r/>
            <w:r>
              <w:t>dev08-tablero-energia</w:t>
            </w:r>
          </w:p>
        </w:tc>
        <w:tc>
          <w:tcPr>
            <w:tcW w:type="dxa" w:w="1234"/>
          </w:tcPr>
          <w:p>
            <w:r/>
            <w:r>
              <w:t>Energía del tablero</w:t>
            </w:r>
          </w:p>
        </w:tc>
        <w:tc>
          <w:tcPr>
            <w:tcW w:type="dxa" w:w="1234"/>
          </w:tcPr>
          <w:p>
            <w:r/>
            <w:r>
              <w:t>Replay de CSV / histórico</w:t>
            </w:r>
          </w:p>
        </w:tc>
        <w:tc>
          <w:tcPr>
            <w:tcW w:type="dxa" w:w="1234"/>
          </w:tcPr>
          <w:p>
            <w:r/>
            <w:r>
              <w:t>MQTT/TLS 8883</w:t>
            </w:r>
          </w:p>
        </w:tc>
        <w:tc>
          <w:tcPr>
            <w:tcW w:type="dxa" w:w="1234"/>
          </w:tcPr>
          <w:p>
            <w:r/>
            <w:r>
              <w:t>45 s</w:t>
            </w:r>
          </w:p>
        </w:tc>
        <w:tc>
          <w:tcPr>
            <w:tcW w:type="dxa" w:w="1234"/>
          </w:tcPr>
          <w:p>
            <w:r/>
            <w:r>
              <w:t>kwh, corriente_a, estado_breaker</w:t>
            </w:r>
          </w:p>
        </w:tc>
        <w:tc>
          <w:tcPr>
            <w:tcW w:type="dxa" w:w="1234"/>
          </w:tcPr>
          <w:p>
            <w:r/>
            <w:r>
              <w:t>Medidor PZEM-004T (datasheet fabricante)</w:t>
            </w:r>
          </w:p>
        </w:tc>
      </w:tr>
      <w:tr>
        <w:tc>
          <w:tcPr>
            <w:tcW w:type="dxa" w:w="1234"/>
          </w:tcPr>
          <w:p>
            <w:r/>
            <w:r>
              <w:t>dev09-perimetro</w:t>
            </w:r>
          </w:p>
        </w:tc>
        <w:tc>
          <w:tcPr>
            <w:tcW w:type="dxa" w:w="1234"/>
          </w:tcPr>
          <w:p>
            <w:r/>
            <w:r>
              <w:t>Perímetro / evento</w:t>
            </w:r>
          </w:p>
        </w:tc>
        <w:tc>
          <w:tcPr>
            <w:tcW w:type="dxa" w:w="1234"/>
          </w:tcPr>
          <w:p>
            <w:r/>
            <w:r>
              <w:t>Segunda instancia Wokwi (ESP32 virtual distinto)</w:t>
            </w:r>
          </w:p>
        </w:tc>
        <w:tc>
          <w:tcPr>
            <w:tcW w:type="dxa" w:w="1234"/>
          </w:tcPr>
          <w:p>
            <w:r/>
            <w:r>
              <w:t>MQTT/TLS 8883</w:t>
            </w:r>
          </w:p>
        </w:tc>
        <w:tc>
          <w:tcPr>
            <w:tcW w:type="dxa" w:w="1234"/>
          </w:tcPr>
          <w:p>
            <w:r/>
            <w:r>
              <w:t>60 s</w:t>
            </w:r>
          </w:p>
        </w:tc>
        <w:tc>
          <w:tcPr>
            <w:tcW w:type="dxa" w:w="1234"/>
          </w:tcPr>
          <w:p>
            <w:r/>
            <w:r>
              <w:t>movimiento, lux_nocturno, puerta</w:t>
            </w:r>
          </w:p>
        </w:tc>
        <w:tc>
          <w:tcPr>
            <w:tcW w:type="dxa" w:w="1234"/>
          </w:tcPr>
          <w:p>
            <w:r/>
            <w:r>
              <w:t>PIR HC-SR501 + LDR GL5528</w:t>
            </w:r>
          </w:p>
        </w:tc>
      </w:tr>
      <w:tr>
        <w:tc>
          <w:tcPr>
            <w:tcW w:type="dxa" w:w="1234"/>
          </w:tcPr>
          <w:p>
            <w:r/>
            <w:r>
              <w:t>dev10-pasarela-sesion</w:t>
            </w:r>
          </w:p>
        </w:tc>
        <w:tc>
          <w:tcPr>
            <w:tcW w:type="dxa" w:w="1234"/>
          </w:tcPr>
          <w:p>
            <w:r/>
            <w:r>
              <w:t>Pasarela de sesión</w:t>
            </w:r>
          </w:p>
        </w:tc>
        <w:tc>
          <w:tcPr>
            <w:tcW w:type="dxa" w:w="1234"/>
          </w:tcPr>
          <w:p>
            <w:r/>
            <w:r>
              <w:t>Python (azure-iot-device, MQTT sobre WebSockets 443)</w:t>
            </w:r>
          </w:p>
        </w:tc>
        <w:tc>
          <w:tcPr>
            <w:tcW w:type="dxa" w:w="1234"/>
          </w:tcPr>
          <w:p>
            <w:r/>
            <w:r>
              <w:t>MQTT-WS/TLS 443</w:t>
            </w:r>
          </w:p>
        </w:tc>
        <w:tc>
          <w:tcPr>
            <w:tcW w:type="dxa" w:w="1234"/>
          </w:tcPr>
          <w:p>
            <w:r/>
            <w:r>
              <w:t>20 s</w:t>
            </w:r>
          </w:p>
        </w:tc>
        <w:tc>
          <w:tcPr>
            <w:tcW w:type="dxa" w:w="1234"/>
          </w:tcPr>
          <w:p>
            <w:r/>
            <w:r>
              <w:t>sesion_activa, usuario_anonimo, ack</w:t>
            </w:r>
          </w:p>
        </w:tc>
        <w:tc>
          <w:tcPr>
            <w:tcW w:type="dxa" w:w="1234"/>
          </w:tcPr>
          <w:p>
            <w:r/>
            <w:r>
              <w:t>Lógica de aplicación (sin sensor físico)</w:t>
            </w:r>
          </w:p>
        </w:tc>
      </w:tr>
    </w:tbl>
    <w:p/>
    <w:p>
      <w:r>
        <w:rPr>
          <w:b/>
        </w:rPr>
        <w:t>Asincronía cumplida:</w:t>
      </w:r>
      <w:r>
        <w:t xml:space="preserve"> 15 s (dev03, dev04), 20 s (dev10), 45 s (dev08), 60 s (dev01, dev02, dev07, dev09), 300 s (dev06), evento+heartbeat (dev05) → más de tres intervalos distintos.</w:t>
      </w:r>
    </w:p>
    <w:p>
      <w:r>
        <w:rPr>
          <w:b/>
        </w:rPr>
        <w:t>Heterogeneidad de orígenes cumplida:</w:t>
      </w:r>
      <w:r>
        <w:t xml:space="preserve"> Digital Twin nativo, Wokwi (dos instancias con sensores distintos), Python + azure-iot-device (MQTT nativo), cliente MQTT explícito con paho, puente HTTP/REST, API pública (Open-Meteo forecast), Atlas Weather equivalente (Open-Meteo air quality, dominio distinto), replay de CSV histórico, MQTT sobre WebSockets. Diez filas, orígenes distinguibles.</w:t>
      </w:r>
    </w:p>
    <w:p>
      <w:pPr>
        <w:pStyle w:val="Heading2"/>
      </w:pPr>
      <w:r>
        <w:t>4. Tablas de parámetros (datasheet ↔ operación ↔ código)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Variable</w:t>
            </w:r>
          </w:p>
        </w:tc>
        <w:tc>
          <w:tcPr>
            <w:tcW w:type="dxa" w:w="1234"/>
          </w:tcPr>
          <w:p>
            <w:r>
              <w:rPr>
                <w:b/>
              </w:rPr>
            </w:r>
            <w:r>
              <w:rPr>
                <w:b/>
              </w:rPr>
              <w:t>Unidad</w:t>
            </w:r>
          </w:p>
        </w:tc>
        <w:tc>
          <w:tcPr>
            <w:tcW w:type="dxa" w:w="1234"/>
          </w:tcPr>
          <w:p>
            <w:r>
              <w:rPr>
                <w:b/>
              </w:rPr>
            </w:r>
            <w:r>
              <w:rPr>
                <w:b/>
              </w:rPr>
              <w:t>Rango datasheet</w:t>
            </w:r>
          </w:p>
        </w:tc>
        <w:tc>
          <w:tcPr>
            <w:tcW w:type="dxa" w:w="1234"/>
          </w:tcPr>
          <w:p>
            <w:r>
              <w:rPr>
                <w:b/>
              </w:rPr>
            </w:r>
            <w:r>
              <w:rPr>
                <w:b/>
              </w:rPr>
              <w:t>Rango operativo escenario</w:t>
            </w:r>
          </w:p>
        </w:tc>
        <w:tc>
          <w:tcPr>
            <w:tcW w:type="dxa" w:w="1234"/>
          </w:tcPr>
          <w:p>
            <w:r>
              <w:rPr>
                <w:b/>
              </w:rPr>
            </w:r>
            <w:r>
              <w:rPr>
                <w:b/>
              </w:rPr>
              <w:t>Precisión</w:t>
            </w:r>
          </w:p>
        </w:tc>
        <w:tc>
          <w:tcPr>
            <w:tcW w:type="dxa" w:w="1234"/>
          </w:tcPr>
          <w:p>
            <w:r>
              <w:rPr>
                <w:b/>
              </w:rPr>
            </w:r>
            <w:r>
              <w:rPr>
                <w:b/>
              </w:rPr>
              <w:t>Umbral de Rule</w:t>
            </w:r>
          </w:p>
        </w:tc>
        <w:tc>
          <w:tcPr>
            <w:tcW w:type="dxa" w:w="1234"/>
          </w:tcPr>
          <w:p>
            <w:r>
              <w:rPr>
                <w:b/>
              </w:rPr>
            </w:r>
            <w:r>
              <w:rPr>
                <w:b/>
              </w:rPr>
              <w:t>Valor usado en código (min/max/offset)</w:t>
            </w:r>
          </w:p>
        </w:tc>
      </w:tr>
      <w:tr>
        <w:tc>
          <w:tcPr>
            <w:tcW w:type="dxa" w:w="1234"/>
          </w:tcPr>
          <w:p>
            <w:r/>
            <w:r>
              <w:t>lock_state</w:t>
            </w:r>
          </w:p>
        </w:tc>
        <w:tc>
          <w:tcPr>
            <w:tcW w:type="dxa" w:w="1234"/>
          </w:tcPr>
          <w:p>
            <w:r/>
            <w:r>
              <w:t>enum</w:t>
            </w:r>
          </w:p>
        </w:tc>
        <w:tc>
          <w:tcPr>
            <w:tcW w:type="dxa" w:w="1234"/>
          </w:tcPr>
          <w:p>
            <w:r/>
            <w:r>
              <w:t>open/closed</w:t>
            </w:r>
          </w:p>
        </w:tc>
        <w:tc>
          <w:tcPr>
            <w:tcW w:type="dxa" w:w="1234"/>
          </w:tcPr>
          <w:p>
            <w:r/>
            <w:r>
              <w:t>open/closed</w:t>
            </w:r>
          </w:p>
        </w:tc>
        <w:tc>
          <w:tcPr>
            <w:tcW w:type="dxa" w:w="1234"/>
          </w:tcPr>
          <w:p>
            <w:r/>
            <w:r>
              <w:t>—</w:t>
            </w:r>
          </w:p>
        </w:tc>
        <w:tc>
          <w:tcPr>
            <w:tcW w:type="dxa" w:w="1234"/>
          </w:tcPr>
          <w:p>
            <w:r/>
            <w:r>
              <w:t xml:space="preserve">Alerta si </w:t>
            </w:r>
            <w:r>
              <w:rPr>
                <w:rFonts w:ascii="Consolas" w:hAnsi="Consolas"/>
              </w:rPr>
              <w:t>open</w:t>
            </w:r>
            <w:r>
              <w:t xml:space="preserve"> &gt; 10 min con </w:t>
            </w:r>
            <w:r>
              <w:rPr>
                <w:rFonts w:ascii="Consolas" w:hAnsi="Consolas"/>
              </w:rPr>
              <w:t>ocupado=false</w:t>
            </w:r>
          </w:p>
        </w:tc>
        <w:tc>
          <w:tcPr>
            <w:tcW w:type="dxa" w:w="1234"/>
          </w:tcPr>
          <w:p>
            <w:r/>
            <w:r>
              <w:t>random/controlado por comando</w:t>
            </w:r>
          </w:p>
        </w:tc>
      </w:tr>
      <w:tr>
        <w:tc>
          <w:tcPr>
            <w:tcW w:type="dxa" w:w="1234"/>
          </w:tcPr>
          <w:p>
            <w:r/>
            <w:r>
              <w:t>ocupado</w:t>
            </w:r>
          </w:p>
        </w:tc>
        <w:tc>
          <w:tcPr>
            <w:tcW w:type="dxa" w:w="1234"/>
          </w:tcPr>
          <w:p>
            <w:r/>
            <w:r>
              <w:t>bool</w:t>
            </w:r>
          </w:p>
        </w:tc>
        <w:tc>
          <w:tcPr>
            <w:tcW w:type="dxa" w:w="1234"/>
          </w:tcPr>
          <w:p>
            <w:r/>
            <w:r>
              <w:t>—</w:t>
            </w:r>
          </w:p>
        </w:tc>
        <w:tc>
          <w:tcPr>
            <w:tcW w:type="dxa" w:w="1234"/>
          </w:tcPr>
          <w:p>
            <w:r/>
            <w:r>
              <w:t>—</w:t>
            </w:r>
          </w:p>
        </w:tc>
        <w:tc>
          <w:tcPr>
            <w:tcW w:type="dxa" w:w="1234"/>
          </w:tcPr>
          <w:p>
            <w:r/>
            <w:r>
              <w:t>—</w:t>
            </w:r>
          </w:p>
        </w:tc>
        <w:tc>
          <w:tcPr>
            <w:tcW w:type="dxa" w:w="1234"/>
          </w:tcPr>
          <w:p>
            <w:r/>
            <w:r>
              <w:t>—</w:t>
            </w:r>
          </w:p>
        </w:tc>
        <w:tc>
          <w:tcPr>
            <w:tcW w:type="dxa" w:w="1234"/>
          </w:tcPr>
          <w:p>
            <w:r/>
            <w:r>
              <w:rPr>
                <w:rFonts w:ascii="Consolas" w:hAnsi="Consolas"/>
              </w:rPr>
              <w:t>random() &lt; 0.5–0.6</w:t>
            </w:r>
          </w:p>
        </w:tc>
      </w:tr>
      <w:tr>
        <w:tc>
          <w:tcPr>
            <w:tcW w:type="dxa" w:w="1234"/>
          </w:tcPr>
          <w:p>
            <w:r/>
            <w:r>
              <w:t>temp_slot</w:t>
            </w:r>
          </w:p>
        </w:tc>
        <w:tc>
          <w:tcPr>
            <w:tcW w:type="dxa" w:w="1234"/>
          </w:tcPr>
          <w:p>
            <w:r/>
            <w:r>
              <w:t>°C</w:t>
            </w:r>
          </w:p>
        </w:tc>
        <w:tc>
          <w:tcPr>
            <w:tcW w:type="dxa" w:w="1234"/>
          </w:tcPr>
          <w:p>
            <w:r/>
            <w:r>
              <w:t>−40 a 85 (LDR/estructura expuesta)</w:t>
            </w:r>
          </w:p>
        </w:tc>
        <w:tc>
          <w:tcPr>
            <w:tcW w:type="dxa" w:w="1234"/>
          </w:tcPr>
          <w:p>
            <w:r/>
            <w:r>
              <w:t>10–35</w:t>
            </w:r>
          </w:p>
        </w:tc>
        <w:tc>
          <w:tcPr>
            <w:tcW w:type="dxa" w:w="1234"/>
          </w:tcPr>
          <w:p>
            <w:r/>
            <w:r>
              <w:t>±1 °C</w:t>
            </w:r>
          </w:p>
        </w:tc>
        <w:tc>
          <w:tcPr>
            <w:tcW w:type="dxa" w:w="1234"/>
          </w:tcPr>
          <w:p>
            <w:r/>
            <w:r>
              <w:t>&gt; 38 °C</w:t>
            </w:r>
          </w:p>
        </w:tc>
        <w:tc>
          <w:tcPr>
            <w:tcW w:type="dxa" w:w="1234"/>
          </w:tcPr>
          <w:p>
            <w:r/>
            <w:r>
              <w:t>offset ambiente + ruido</w:t>
            </w:r>
          </w:p>
        </w:tc>
      </w:tr>
      <w:tr>
        <w:tc>
          <w:tcPr>
            <w:tcW w:type="dxa" w:w="1234"/>
          </w:tcPr>
          <w:p>
            <w:r/>
            <w:r>
              <w:t>corriente_a</w:t>
            </w:r>
          </w:p>
        </w:tc>
        <w:tc>
          <w:tcPr>
            <w:tcW w:type="dxa" w:w="1234"/>
          </w:tcPr>
          <w:p>
            <w:r/>
            <w:r>
              <w:t>A</w:t>
            </w:r>
          </w:p>
        </w:tc>
        <w:tc>
          <w:tcPr>
            <w:tcW w:type="dxa" w:w="1234"/>
          </w:tcPr>
          <w:p>
            <w:r/>
            <w:r>
              <w:t>0–3 A (TP4056)</w:t>
            </w:r>
          </w:p>
        </w:tc>
        <w:tc>
          <w:tcPr>
            <w:tcW w:type="dxa" w:w="1234"/>
          </w:tcPr>
          <w:p>
            <w:r/>
            <w:r>
              <w:t>0–2.5 A</w:t>
            </w:r>
          </w:p>
        </w:tc>
        <w:tc>
          <w:tcPr>
            <w:tcW w:type="dxa" w:w="1234"/>
          </w:tcPr>
          <w:p>
            <w:r/>
            <w:r>
              <w:t>±0.05 A</w:t>
            </w:r>
          </w:p>
        </w:tc>
        <w:tc>
          <w:tcPr>
            <w:tcW w:type="dxa" w:w="1234"/>
          </w:tcPr>
          <w:p>
            <w:r/>
            <w:r>
              <w:t>&gt; 2.6 A (sobrecorriente)</w:t>
            </w:r>
          </w:p>
        </w:tc>
        <w:tc>
          <w:tcPr>
            <w:tcW w:type="dxa" w:w="1234"/>
          </w:tcPr>
          <w:p>
            <w:r/>
            <w:r>
              <w:rPr>
                <w:rFonts w:ascii="Consolas" w:hAnsi="Consolas"/>
              </w:rPr>
              <w:t>uniform(0, 2.5)</w:t>
            </w:r>
          </w:p>
        </w:tc>
      </w:tr>
      <w:tr>
        <w:tc>
          <w:tcPr>
            <w:tcW w:type="dxa" w:w="1234"/>
          </w:tcPr>
          <w:p>
            <w:r/>
            <w:r>
              <w:t>soc_estimado</w:t>
            </w:r>
          </w:p>
        </w:tc>
        <w:tc>
          <w:tcPr>
            <w:tcW w:type="dxa" w:w="1234"/>
          </w:tcPr>
          <w:p>
            <w:r/>
            <w:r>
              <w:t>%</w:t>
            </w:r>
          </w:p>
        </w:tc>
        <w:tc>
          <w:tcPr>
            <w:tcW w:type="dxa" w:w="1234"/>
          </w:tcPr>
          <w:p>
            <w:r/>
            <w:r>
              <w:t>0–100</w:t>
            </w:r>
          </w:p>
        </w:tc>
        <w:tc>
          <w:tcPr>
            <w:tcW w:type="dxa" w:w="1234"/>
          </w:tcPr>
          <w:p>
            <w:r/>
            <w:r>
              <w:t>0–100</w:t>
            </w:r>
          </w:p>
        </w:tc>
        <w:tc>
          <w:tcPr>
            <w:tcW w:type="dxa" w:w="1234"/>
          </w:tcPr>
          <w:p>
            <w:r/>
            <w:r>
              <w:t>±2 %</w:t>
            </w:r>
          </w:p>
        </w:tc>
        <w:tc>
          <w:tcPr>
            <w:tcW w:type="dxa" w:w="1234"/>
          </w:tcPr>
          <w:p>
            <w:r/>
            <w:r>
              <w:t>&lt; 10 % (batería baja)</w:t>
            </w:r>
          </w:p>
        </w:tc>
        <w:tc>
          <w:tcPr>
            <w:tcW w:type="dxa" w:w="1234"/>
          </w:tcPr>
          <w:p>
            <w:r/>
            <w:r>
              <w:rPr>
                <w:rFonts w:ascii="Consolas" w:hAnsi="Consolas"/>
              </w:rPr>
              <w:t>randint(20, 100)</w:t>
            </w:r>
          </w:p>
        </w:tc>
      </w:tr>
      <w:tr>
        <w:tc>
          <w:tcPr>
            <w:tcW w:type="dxa" w:w="1234"/>
          </w:tcPr>
          <w:p>
            <w:r/>
            <w:r>
              <w:t>temp_conector</w:t>
            </w:r>
          </w:p>
        </w:tc>
        <w:tc>
          <w:tcPr>
            <w:tcW w:type="dxa" w:w="1234"/>
          </w:tcPr>
          <w:p>
            <w:r/>
            <w:r>
              <w:t>°C</w:t>
            </w:r>
          </w:p>
        </w:tc>
        <w:tc>
          <w:tcPr>
            <w:tcW w:type="dxa" w:w="1234"/>
          </w:tcPr>
          <w:p>
            <w:r/>
            <w:r>
              <w:t>−40 a 125 (NTC 10K)</w:t>
            </w:r>
          </w:p>
        </w:tc>
        <w:tc>
          <w:tcPr>
            <w:tcW w:type="dxa" w:w="1234"/>
          </w:tcPr>
          <w:p>
            <w:r/>
            <w:r>
              <w:t>15–45</w:t>
            </w:r>
          </w:p>
        </w:tc>
        <w:tc>
          <w:tcPr>
            <w:tcW w:type="dxa" w:w="1234"/>
          </w:tcPr>
          <w:p>
            <w:r/>
            <w:r>
              <w:t>±1.5 °C</w:t>
            </w:r>
          </w:p>
        </w:tc>
        <w:tc>
          <w:tcPr>
            <w:tcW w:type="dxa" w:w="1234"/>
          </w:tcPr>
          <w:p>
            <w:r/>
            <w:r>
              <w:t>&gt; 45 °C</w:t>
            </w:r>
          </w:p>
        </w:tc>
        <w:tc>
          <w:tcPr>
            <w:tcW w:type="dxa" w:w="1234"/>
          </w:tcPr>
          <w:p>
            <w:r/>
            <w:r>
              <w:t>mapeo lectura ADC</w:t>
            </w:r>
          </w:p>
        </w:tc>
      </w:tr>
      <w:tr>
        <w:tc>
          <w:tcPr>
            <w:tcW w:type="dxa" w:w="1234"/>
          </w:tcPr>
          <w:p>
            <w:r/>
            <w:r>
              <w:t>pm25</w:t>
            </w:r>
          </w:p>
        </w:tc>
        <w:tc>
          <w:tcPr>
            <w:tcW w:type="dxa" w:w="1234"/>
          </w:tcPr>
          <w:p>
            <w:r/>
            <w:r>
              <w:t>µg/m³</w:t>
            </w:r>
          </w:p>
        </w:tc>
        <w:tc>
          <w:tcPr>
            <w:tcW w:type="dxa" w:w="1234"/>
          </w:tcPr>
          <w:p>
            <w:r/>
            <w:r>
              <w:t>0–500 (PMS5003)</w:t>
            </w:r>
          </w:p>
        </w:tc>
        <w:tc>
          <w:tcPr>
            <w:tcW w:type="dxa" w:w="1234"/>
          </w:tcPr>
          <w:p>
            <w:r/>
            <w:r>
              <w:t>0–100 (urbano típico)</w:t>
            </w:r>
          </w:p>
        </w:tc>
        <w:tc>
          <w:tcPr>
            <w:tcW w:type="dxa" w:w="1234"/>
          </w:tcPr>
          <w:p>
            <w:r/>
            <w:r>
              <w:t>±10 %</w:t>
            </w:r>
          </w:p>
        </w:tc>
        <w:tc>
          <w:tcPr>
            <w:tcW w:type="dxa" w:w="1234"/>
          </w:tcPr>
          <w:p>
            <w:r/>
            <w:r>
              <w:t>&gt; 55 (dañino grupos sensibles)</w:t>
            </w:r>
          </w:p>
        </w:tc>
        <w:tc>
          <w:tcPr>
            <w:tcW w:type="dxa" w:w="1234"/>
          </w:tcPr>
          <w:p>
            <w:r/>
            <w:r>
              <w:t>dato real API</w:t>
            </w:r>
          </w:p>
        </w:tc>
      </w:tr>
      <w:tr>
        <w:tc>
          <w:tcPr>
            <w:tcW w:type="dxa" w:w="1234"/>
          </w:tcPr>
          <w:p>
            <w:r/>
            <w:r>
              <w:t>aqi</w:t>
            </w:r>
          </w:p>
        </w:tc>
        <w:tc>
          <w:tcPr>
            <w:tcW w:type="dxa" w:w="1234"/>
          </w:tcPr>
          <w:p>
            <w:r/>
            <w:r>
              <w:t>índice</w:t>
            </w:r>
          </w:p>
        </w:tc>
        <w:tc>
          <w:tcPr>
            <w:tcW w:type="dxa" w:w="1234"/>
          </w:tcPr>
          <w:p>
            <w:r/>
            <w:r>
              <w:t>0–500</w:t>
            </w:r>
          </w:p>
        </w:tc>
        <w:tc>
          <w:tcPr>
            <w:tcW w:type="dxa" w:w="1234"/>
          </w:tcPr>
          <w:p>
            <w:r/>
            <w:r>
              <w:t>0–150</w:t>
            </w:r>
          </w:p>
        </w:tc>
        <w:tc>
          <w:tcPr>
            <w:tcW w:type="dxa" w:w="1234"/>
          </w:tcPr>
          <w:p>
            <w:r/>
            <w:r>
              <w:t>—</w:t>
            </w:r>
          </w:p>
        </w:tc>
        <w:tc>
          <w:tcPr>
            <w:tcW w:type="dxa" w:w="1234"/>
          </w:tcPr>
          <w:p>
            <w:r/>
            <w:r>
              <w:t>&gt; 100</w:t>
            </w:r>
          </w:p>
        </w:tc>
        <w:tc>
          <w:tcPr>
            <w:tcW w:type="dxa" w:w="1234"/>
          </w:tcPr>
          <w:p>
            <w:r/>
            <w:r>
              <w:t>dato real API</w:t>
            </w:r>
          </w:p>
        </w:tc>
      </w:tr>
      <w:tr>
        <w:tc>
          <w:tcPr>
            <w:tcW w:type="dxa" w:w="1234"/>
          </w:tcPr>
          <w:p>
            <w:r/>
            <w:r>
              <w:t>temp_c / hr_pct / lluvia_mm</w:t>
            </w:r>
          </w:p>
        </w:tc>
        <w:tc>
          <w:tcPr>
            <w:tcW w:type="dxa" w:w="1234"/>
          </w:tcPr>
          <w:p>
            <w:r/>
            <w:r>
              <w:t>°C/%/mm·h⁻¹</w:t>
            </w:r>
          </w:p>
        </w:tc>
        <w:tc>
          <w:tcPr>
            <w:tcW w:type="dxa" w:w="1234"/>
          </w:tcPr>
          <w:p>
            <w:r/>
            <w:r>
              <w:t>estación meteorológica estándar</w:t>
            </w:r>
          </w:p>
        </w:tc>
        <w:tc>
          <w:tcPr>
            <w:tcW w:type="dxa" w:w="1234"/>
          </w:tcPr>
          <w:p>
            <w:r/>
            <w:r>
              <w:t>15–32 °C / 40–95 % / 0–20 mm·h⁻¹</w:t>
            </w:r>
          </w:p>
        </w:tc>
        <w:tc>
          <w:tcPr>
            <w:tcW w:type="dxa" w:w="1234"/>
          </w:tcPr>
          <w:p>
            <w:r/>
            <w:r>
              <w:t>±0.5 °C / ±3 %</w:t>
            </w:r>
          </w:p>
        </w:tc>
        <w:tc>
          <w:tcPr>
            <w:tcW w:type="dxa" w:w="1234"/>
          </w:tcPr>
          <w:p>
            <w:r/>
            <w:r>
              <w:t>lluvia &gt; 5 mm·h⁻¹ (evacuar bicis descubiertas)</w:t>
            </w:r>
          </w:p>
        </w:tc>
        <w:tc>
          <w:tcPr>
            <w:tcW w:type="dxa" w:w="1234"/>
          </w:tcPr>
          <w:p>
            <w:r/>
            <w:r>
              <w:t>dato real API</w:t>
            </w:r>
          </w:p>
        </w:tc>
      </w:tr>
      <w:tr>
        <w:tc>
          <w:tcPr>
            <w:tcW w:type="dxa" w:w="1234"/>
          </w:tcPr>
          <w:p>
            <w:r/>
            <w:r>
              <w:t>kwh / corriente_a (tablero)</w:t>
            </w:r>
          </w:p>
        </w:tc>
        <w:tc>
          <w:tcPr>
            <w:tcW w:type="dxa" w:w="1234"/>
          </w:tcPr>
          <w:p>
            <w:r/>
            <w:r>
              <w:t>kWh / A</w:t>
            </w:r>
          </w:p>
        </w:tc>
        <w:tc>
          <w:tcPr>
            <w:tcW w:type="dxa" w:w="1234"/>
          </w:tcPr>
          <w:p>
            <w:r/>
            <w:r>
              <w:t>0–9999 (PZEM-004T)</w:t>
            </w:r>
          </w:p>
        </w:tc>
        <w:tc>
          <w:tcPr>
            <w:tcW w:type="dxa" w:w="1234"/>
          </w:tcPr>
          <w:p>
            <w:r/>
            <w:r>
              <w:t>10–15 kWh/ciclo</w:t>
            </w:r>
          </w:p>
        </w:tc>
        <w:tc>
          <w:tcPr>
            <w:tcW w:type="dxa" w:w="1234"/>
          </w:tcPr>
          <w:p>
            <w:r/>
            <w:r>
              <w:t>±1 %</w:t>
            </w:r>
          </w:p>
        </w:tc>
        <w:tc>
          <w:tcPr>
            <w:tcW w:type="dxa" w:w="1234"/>
          </w:tcPr>
          <w:p>
            <w:r/>
            <w:r>
              <w:t xml:space="preserve">breaker </w:t>
            </w:r>
            <w:r>
              <w:rPr>
                <w:rFonts w:ascii="Consolas" w:hAnsi="Consolas"/>
              </w:rPr>
              <w:t>fault</w:t>
            </w:r>
          </w:p>
        </w:tc>
        <w:tc>
          <w:tcPr>
            <w:tcW w:type="dxa" w:w="1234"/>
          </w:tcPr>
          <w:p>
            <w:r/>
            <w:r>
              <w:t>replay CSV</w:t>
            </w:r>
          </w:p>
        </w:tc>
      </w:tr>
      <w:tr>
        <w:tc>
          <w:tcPr>
            <w:tcW w:type="dxa" w:w="1234"/>
          </w:tcPr>
          <w:p>
            <w:r/>
            <w:r>
              <w:t>movimiento / lux_nocturno</w:t>
            </w:r>
          </w:p>
        </w:tc>
        <w:tc>
          <w:tcPr>
            <w:tcW w:type="dxa" w:w="1234"/>
          </w:tcPr>
          <w:p>
            <w:r/>
            <w:r>
              <w:t>bool / lux</w:t>
            </w:r>
          </w:p>
        </w:tc>
        <w:tc>
          <w:tcPr>
            <w:tcW w:type="dxa" w:w="1234"/>
          </w:tcPr>
          <w:p>
            <w:r/>
            <w:r>
              <w:t>HC-SR501 5–7 m / GL5528 1–100 klx</w:t>
            </w:r>
          </w:p>
        </w:tc>
        <w:tc>
          <w:tcPr>
            <w:tcW w:type="dxa" w:w="1234"/>
          </w:tcPr>
          <w:p>
            <w:r/>
            <w:r>
              <w:t>0–10 m / 0–100 lux</w:t>
            </w:r>
          </w:p>
        </w:tc>
        <w:tc>
          <w:tcPr>
            <w:tcW w:type="dxa" w:w="1234"/>
          </w:tcPr>
          <w:p>
            <w:r/>
            <w:r>
              <w:t>—</w:t>
            </w:r>
          </w:p>
        </w:tc>
        <w:tc>
          <w:tcPr>
            <w:tcW w:type="dxa" w:w="1234"/>
          </w:tcPr>
          <w:p>
            <w:r/>
            <w:r>
              <w:t>movimiento nocturno con lux &lt; 5</w:t>
            </w:r>
          </w:p>
        </w:tc>
        <w:tc>
          <w:tcPr>
            <w:tcW w:type="dxa" w:w="1234"/>
          </w:tcPr>
          <w:p>
            <w:r/>
            <w:r>
              <w:t>lectura simulada ESP32</w:t>
            </w:r>
          </w:p>
        </w:tc>
      </w:tr>
    </w:tbl>
    <w:p/>
    <w:p>
      <w:pPr>
        <w:pStyle w:val="Heading2"/>
      </w:pPr>
      <w:r>
        <w:t>5. Comparativa de variables sobre la ventana de observación</w:t>
      </w:r>
    </w:p>
    <w:p>
      <w:pPr>
        <w:ind w:left="432"/>
      </w:pPr>
      <w:r>
        <w:rPr>
          <w:b/>
          <w:i/>
        </w:rPr>
        <w:t>Ventana real cubierta en este corte:</w:t>
      </w:r>
      <w:r>
        <w:rPr>
          <w:i/>
        </w:rPr>
        <w:t xml:space="preserve"> 2026-09-27, aprox. 17:30 a 20:05 (America/Bogota), operación continua de la flota Python + Digital Twin nativo. Ver nota de alcance en la sección 1. Los valores son reales y verificables en el Explorador de datos de IoT Central, no simulados a posteriori.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Variable</w:t>
            </w:r>
          </w:p>
        </w:tc>
        <w:tc>
          <w:tcPr>
            <w:tcW w:type="dxa" w:w="1440"/>
          </w:tcPr>
          <w:p>
            <w:r>
              <w:rPr>
                <w:b/>
              </w:rPr>
            </w:r>
            <w:r>
              <w:rPr>
                <w:b/>
              </w:rPr>
              <w:t>Origen</w:t>
            </w:r>
          </w:p>
        </w:tc>
        <w:tc>
          <w:tcPr>
            <w:tcW w:type="dxa" w:w="1440"/>
          </w:tcPr>
          <w:p>
            <w:r>
              <w:rPr>
                <w:b/>
              </w:rPr>
            </w:r>
            <w:r>
              <w:rPr>
                <w:b/>
              </w:rPr>
              <w:t>Máximo</w:t>
            </w:r>
          </w:p>
        </w:tc>
        <w:tc>
          <w:tcPr>
            <w:tcW w:type="dxa" w:w="1440"/>
          </w:tcPr>
          <w:p>
            <w:r>
              <w:rPr>
                <w:b/>
              </w:rPr>
            </w:r>
            <w:r>
              <w:rPr>
                <w:b/>
              </w:rPr>
              <w:t>Mínimo</w:t>
            </w:r>
          </w:p>
        </w:tc>
        <w:tc>
          <w:tcPr>
            <w:tcW w:type="dxa" w:w="1440"/>
          </w:tcPr>
          <w:p>
            <w:r>
              <w:rPr>
                <w:b/>
              </w:rPr>
            </w:r>
            <w:r>
              <w:rPr>
                <w:b/>
              </w:rPr>
              <w:t>Promedio aprox.</w:t>
            </w:r>
          </w:p>
        </w:tc>
        <w:tc>
          <w:tcPr>
            <w:tcW w:type="dxa" w:w="1440"/>
          </w:tcPr>
          <w:p>
            <w:r>
              <w:rPr>
                <w:b/>
              </w:rPr>
            </w:r>
            <w:r>
              <w:rPr>
                <w:b/>
              </w:rPr>
              <w:t>Lectura operativa</w:t>
            </w:r>
          </w:p>
        </w:tc>
      </w:tr>
      <w:tr>
        <w:tc>
          <w:tcPr>
            <w:tcW w:type="dxa" w:w="1440"/>
          </w:tcPr>
          <w:p>
            <w:r/>
            <w:r>
              <w:t>temp_slot (ParkingSlot)</w:t>
            </w:r>
          </w:p>
        </w:tc>
        <w:tc>
          <w:tcPr>
            <w:tcW w:type="dxa" w:w="1440"/>
          </w:tcPr>
          <w:p>
            <w:r/>
            <w:r>
              <w:t>dev01 (Digital Twin nativo)</w:t>
            </w:r>
          </w:p>
        </w:tc>
        <w:tc>
          <w:tcPr>
            <w:tcW w:type="dxa" w:w="1440"/>
          </w:tcPr>
          <w:p>
            <w:r/>
            <w:r>
              <w:t>≈ 72 °C</w:t>
            </w:r>
          </w:p>
        </w:tc>
        <w:tc>
          <w:tcPr>
            <w:tcW w:type="dxa" w:w="1440"/>
          </w:tcPr>
          <w:p>
            <w:r/>
            <w:r>
              <w:t>≈ 25 °C</w:t>
            </w:r>
          </w:p>
        </w:tc>
        <w:tc>
          <w:tcPr>
            <w:tcW w:type="dxa" w:w="1440"/>
          </w:tcPr>
          <w:p>
            <w:r/>
            <w:r>
              <w:t>≈ 48 °C</w:t>
            </w:r>
          </w:p>
        </w:tc>
        <w:tc>
          <w:tcPr>
            <w:tcW w:type="dxa" w:w="1440"/>
          </w:tcPr>
          <w:p>
            <w:r/>
            <w:r>
              <w:t>Oscilación amplia esperada: el simulador nativo genera valores aleatorios de fábrica sin acotar al rango operativo real (10–35 °C); se documenta como comportamiento propio del Digital Twin, a diferenciar de los sensores con código propio.</w:t>
            </w:r>
          </w:p>
        </w:tc>
      </w:tr>
      <w:tr>
        <w:tc>
          <w:tcPr>
            <w:tcW w:type="dxa" w:w="1440"/>
          </w:tcPr>
          <w:p>
            <w:r/>
            <w:r>
              <w:t>temp_conector (ParkingSlot, Slot 1/2/3 tras reasignar el tile)</w:t>
            </w:r>
          </w:p>
        </w:tc>
        <w:tc>
          <w:tcPr>
            <w:tcW w:type="dxa" w:w="1440"/>
          </w:tcPr>
          <w:p>
            <w:r/>
            <w:r>
              <w:t>dev01–dev03</w:t>
            </w:r>
          </w:p>
        </w:tc>
        <w:tc>
          <w:tcPr>
            <w:tcW w:type="dxa" w:w="1440"/>
          </w:tcPr>
          <w:p>
            <w:r/>
            <w:r>
              <w:t>≈ 50 °C</w:t>
            </w:r>
          </w:p>
        </w:tc>
        <w:tc>
          <w:tcPr>
            <w:tcW w:type="dxa" w:w="1440"/>
          </w:tcPr>
          <w:p>
            <w:r/>
            <w:r>
              <w:t>≈ 45 °C</w:t>
            </w:r>
          </w:p>
        </w:tc>
        <w:tc>
          <w:tcPr>
            <w:tcW w:type="dxa" w:w="1440"/>
          </w:tcPr>
          <w:p>
            <w:r/>
            <w:r>
              <w:t>≈ 47 °C</w:t>
            </w:r>
          </w:p>
        </w:tc>
        <w:tc>
          <w:tcPr>
            <w:tcW w:type="dxa" w:w="1440"/>
          </w:tcPr>
          <w:p>
            <w:r/>
            <w:r>
              <w:t>Cerca del umbral de la Rule de sobretemperatura (45 °C); valida que la regla dispararía en carga sostenida.</w:t>
            </w:r>
          </w:p>
        </w:tc>
      </w:tr>
      <w:tr>
        <w:tc>
          <w:tcPr>
            <w:tcW w:type="dxa" w:w="1440"/>
          </w:tcPr>
          <w:p>
            <w:r/>
            <w:r>
              <w:t>pm25 (EnvironmentalNode)</w:t>
            </w:r>
          </w:p>
        </w:tc>
        <w:tc>
          <w:tcPr>
            <w:tcW w:type="dxa" w:w="1440"/>
          </w:tcPr>
          <w:p>
            <w:r/>
            <w:r>
              <w:t>dev07 (Open-Meteo Air Quality, dato real)</w:t>
            </w:r>
          </w:p>
        </w:tc>
        <w:tc>
          <w:tcPr>
            <w:tcW w:type="dxa" w:w="1440"/>
          </w:tcPr>
          <w:p>
            <w:r/>
            <w:r>
              <w:t>≈ 14,7 µg/m³</w:t>
            </w:r>
          </w:p>
        </w:tc>
        <w:tc>
          <w:tcPr>
            <w:tcW w:type="dxa" w:w="1440"/>
          </w:tcPr>
          <w:p>
            <w:r/>
            <w:r>
              <w:t>≈ 12,7 µg/m³</w:t>
            </w:r>
          </w:p>
        </w:tc>
        <w:tc>
          <w:tcPr>
            <w:tcW w:type="dxa" w:w="1440"/>
          </w:tcPr>
          <w:p>
            <w:r/>
            <w:r>
              <w:t>≈ 13,3 µg/m³</w:t>
            </w:r>
          </w:p>
        </w:tc>
        <w:tc>
          <w:tcPr>
            <w:tcW w:type="dxa" w:w="1440"/>
          </w:tcPr>
          <w:p>
            <w:r/>
            <w:r>
              <w:t>Calidad de aire real de Bucaramanga en la ventana observada; muy por debajo del umbral crítico de la Rule (100), coherente con condición "buena" reportada por la fuente pública.</w:t>
            </w:r>
          </w:p>
        </w:tc>
      </w:tr>
      <w:tr>
        <w:tc>
          <w:tcPr>
            <w:tcW w:type="dxa" w:w="1440"/>
          </w:tcPr>
          <w:p>
            <w:r/>
            <w:r>
              <w:t>kwh (EnergyPanel)</w:t>
            </w:r>
          </w:p>
        </w:tc>
        <w:tc>
          <w:tcPr>
            <w:tcW w:type="dxa" w:w="1440"/>
          </w:tcPr>
          <w:p>
            <w:r/>
            <w:r>
              <w:t>dev08 (replay CSV)</w:t>
            </w:r>
          </w:p>
        </w:tc>
        <w:tc>
          <w:tcPr>
            <w:tcW w:type="dxa" w:w="1440"/>
          </w:tcPr>
          <w:p>
            <w:r/>
            <w:r>
              <w:t>≈ 13,1 kWh</w:t>
            </w:r>
          </w:p>
        </w:tc>
        <w:tc>
          <w:tcPr>
            <w:tcW w:type="dxa" w:w="1440"/>
          </w:tcPr>
          <w:p>
            <w:r/>
            <w:r>
              <w:t xml:space="preserve">≈ 6,8 kWh (breaker </w:t>
            </w:r>
            <w:r>
              <w:rPr>
                <w:rFonts w:ascii="Consolas" w:hAnsi="Consolas"/>
              </w:rPr>
              <w:t>off</w:t>
            </w:r>
            <w:r>
              <w:t>)</w:t>
            </w:r>
          </w:p>
        </w:tc>
        <w:tc>
          <w:tcPr>
            <w:tcW w:type="dxa" w:w="1440"/>
          </w:tcPr>
          <w:p>
            <w:r/>
            <w:r>
              <w:t>≈ 11 kWh</w:t>
            </w:r>
          </w:p>
        </w:tc>
        <w:tc>
          <w:tcPr>
            <w:tcW w:type="dxa" w:w="1440"/>
          </w:tcPr>
          <w:p>
            <w:r/>
            <w:r>
              <w:t>El patrón cíclico replica un corte de energía documentado en el CSV (</w:t>
            </w:r>
            <w:r>
              <w:rPr>
                <w:rFonts w:ascii="Consolas" w:hAnsi="Consolas"/>
              </w:rPr>
              <w:t>estado_breaker = off</w:t>
            </w:r>
            <w:r>
              <w:t>), visible como caída a 0 A / mínimo de kWh entre ciclos de operación normal.</w:t>
            </w:r>
          </w:p>
        </w:tc>
      </w:tr>
    </w:tbl>
    <w:p/>
    <w:p>
      <w:r>
        <w:t xml:space="preserve">Capturas de respaldo en </w:t>
      </w:r>
      <w:r>
        <w:rPr>
          <w:rFonts w:ascii="Consolas" w:hAnsi="Consolas"/>
        </w:rPr>
        <w:t>docs/assets/capturas/comparativa_kwh.jpg</w:t>
      </w:r>
      <w:r>
        <w:t xml:space="preserve">, </w:t>
      </w:r>
      <w:r>
        <w:rPr>
          <w:rFonts w:ascii="Consolas" w:hAnsi="Consolas"/>
        </w:rPr>
        <w:t>comparativa_pm25.jpg</w:t>
      </w:r>
      <w:r>
        <w:t xml:space="preserve"> y </w:t>
      </w:r>
      <w:r>
        <w:rPr>
          <w:rFonts w:ascii="Consolas" w:hAnsi="Consolas"/>
        </w:rPr>
        <w:t>comparativa_temp_slot.jpg</w:t>
      </w:r>
      <w:r>
        <w:t xml:space="preserve"> (Explorador de datos de IoT Central, con rango de fechas visible en el eje X).</w:t>
      </w:r>
    </w:p>
    <w:p>
      <w:pPr>
        <w:pStyle w:val="Heading2"/>
      </w:pPr>
      <w:r>
        <w:t>6. Evidencia de asincronía / desconexión</w:t>
      </w:r>
    </w:p>
    <w:p>
      <w:pPr>
        <w:jc w:val="center"/>
      </w:pPr>
      <w:r>
        <w:drawing>
          <wp:inline xmlns:a="http://schemas.openxmlformats.org/drawingml/2006/main" xmlns:pic="http://schemas.openxmlformats.org/drawingml/2006/picture">
            <wp:extent cx="5760720" cy="2836273"/>
            <wp:docPr id="3" name="Picture 3"/>
            <wp:cNvGraphicFramePr>
              <a:graphicFrameLocks noChangeAspect="1"/>
            </wp:cNvGraphicFramePr>
            <a:graphic>
              <a:graphicData uri="http://schemas.openxmlformats.org/drawingml/2006/picture">
                <pic:pic>
                  <pic:nvPicPr>
                    <pic:cNvPr id="0" name="catalogo_10_dispositivos.jpg"/>
                    <pic:cNvPicPr/>
                  </pic:nvPicPr>
                  <pic:blipFill>
                    <a:blip r:embed="rId11"/>
                    <a:stretch>
                      <a:fillRect/>
                    </a:stretch>
                  </pic:blipFill>
                  <pic:spPr>
                    <a:xfrm>
                      <a:off x="0" y="0"/>
                      <a:ext cx="5760720" cy="2836273"/>
                    </a:xfrm>
                    <a:prstGeom prst="rect"/>
                  </pic:spPr>
                </pic:pic>
              </a:graphicData>
            </a:graphic>
          </wp:inline>
        </w:drawing>
      </w:r>
    </w:p>
    <w:p>
      <w:pPr>
        <w:jc w:val="center"/>
      </w:pPr>
      <w:r>
        <w:rPr>
          <w:i/>
          <w:sz w:val="18"/>
        </w:rPr>
        <w:t>Catálogo de 10 dispositivos en IoT Central</w:t>
      </w:r>
    </w:p>
    <w:p>
      <w:pPr>
        <w:pStyle w:val="ListBullet"/>
      </w:pPr>
      <w:r>
        <w:t xml:space="preserve">Captura de estado </w:t>
      </w:r>
      <w:r>
        <w:rPr>
          <w:b/>
        </w:rPr>
        <w:t>Connected</w:t>
      </w:r>
      <w:r>
        <w:t xml:space="preserve"> de dev03 con telemetría cada 15 s hasta el cierre de la ventana (</w:t>
      </w:r>
      <w:r>
        <w:rPr>
          <w:rFonts w:ascii="Consolas" w:hAnsi="Consolas"/>
        </w:rPr>
        <w:t>docs/assets/capturas/dev03_conectado_datos.jpg</w:t>
      </w:r>
      <w:r>
        <w:t>).</w:t>
      </w:r>
    </w:p>
    <w:p>
      <w:pPr>
        <w:pStyle w:val="ListBullet"/>
      </w:pPr>
      <w:r>
        <w:t xml:space="preserve">Captura de estado </w:t>
      </w:r>
      <w:r>
        <w:rPr>
          <w:b/>
        </w:rPr>
        <w:t>Disconnected → Connected</w:t>
      </w:r>
      <w:r>
        <w:t xml:space="preserve"> real observada en dev06, evento "Dispositivo conectado" a las 19:51:06 tras un reinicio real de los procesos de la flota (</w:t>
      </w:r>
      <w:r>
        <w:rPr>
          <w:rFonts w:ascii="Consolas" w:hAnsi="Consolas"/>
        </w:rPr>
        <w:t>docs/assets/capturas/dev06_evidencia_reconexion.jpg</w:t>
      </w:r>
      <w:r>
        <w:t>). No es un dato editado: es el registro nativo del log "Datos sin procesar" de IoT Central.</w:t>
      </w:r>
    </w:p>
    <w:p>
      <w:pPr>
        <w:pStyle w:val="ListBullet"/>
      </w:pPr>
      <w:r>
        <w:t xml:space="preserve">Logs de consola de los dos códigos que se ejecutan en la sustentación: </w:t>
      </w:r>
      <w:r>
        <w:rPr>
          <w:b/>
        </w:rPr>
        <w:t>dev03 (Python + azure-iot-device, MQTT nativo, portátil 1)</w:t>
      </w:r>
      <w:r>
        <w:t xml:space="preserve"> y </w:t>
      </w:r>
      <w:r>
        <w:rPr>
          <w:b/>
        </w:rPr>
        <w:t>dev02 (Python + paho-mqtt explícito, portátil 2)</w:t>
      </w:r>
      <w:r>
        <w:t xml:space="preserve"> — ambos con protocolos y librerías distintos, cumpliendo el requisito de "dos códigos en dos equipos distintos".</w:t>
      </w:r>
    </w:p>
    <w:p>
      <w:pPr>
        <w:pStyle w:val="ListBullet"/>
      </w:pPr>
      <w:r>
        <w:t>dev04 y dev09 (origen Wokwi) quedan documentados con su código fuente completo (</w:t>
      </w:r>
      <w:r>
        <w:rPr>
          <w:rFonts w:ascii="Consolas" w:hAnsi="Consolas"/>
        </w:rPr>
        <w:t>wokwi/dev04_carga_rapida</w:t>
      </w:r>
      <w:r>
        <w:t xml:space="preserve">, </w:t>
      </w:r>
      <w:r>
        <w:rPr>
          <w:rFonts w:ascii="Consolas" w:hAnsi="Consolas"/>
        </w:rPr>
        <w:t>wokwi/dev09_perimetro</w:t>
      </w:r>
      <w:r>
        <w:t>, diagrama + firmware) como parte del catálogo de 10 orígenes; su ejecución en vivo el día de la sustentación es opcional y no reemplaza a dev02/dev03 como los dos códigos formales de la demo.</w:t>
      </w:r>
    </w:p>
    <w:p>
      <w:pPr>
        <w:pStyle w:val="Heading2"/>
      </w:pPr>
      <w:r>
        <w:t>7. Dashboard / Control Room "ParkEasy UNAB"</w:t>
      </w:r>
    </w:p>
    <w:p>
      <w:r>
        <w:t xml:space="preserve">Construido en IoT Central como panel de organización, con datos en vivo (ver guía de construcción en </w:t>
      </w:r>
      <w:r>
        <w:rPr>
          <w:rFonts w:ascii="Consolas" w:hAnsi="Consolas"/>
        </w:rPr>
        <w:t>docs/guia_dashboard_control_room.md</w:t>
      </w:r>
      <w:r>
        <w:t>).</w:t>
      </w:r>
    </w:p>
    <w:p>
      <w:pPr>
        <w:jc w:val="center"/>
      </w:pPr>
      <w:r>
        <w:drawing>
          <wp:inline xmlns:a="http://schemas.openxmlformats.org/drawingml/2006/main" xmlns:pic="http://schemas.openxmlformats.org/drawingml/2006/picture">
            <wp:extent cx="5760720" cy="2836273"/>
            <wp:docPr id="4" name="Picture 4"/>
            <wp:cNvGraphicFramePr>
              <a:graphicFrameLocks noChangeAspect="1"/>
            </wp:cNvGraphicFramePr>
            <a:graphic>
              <a:graphicData uri="http://schemas.openxmlformats.org/drawingml/2006/picture">
                <pic:pic>
                  <pic:nvPicPr>
                    <pic:cNvPr id="0" name="dashboard_control_room.jpg"/>
                    <pic:cNvPicPr/>
                  </pic:nvPicPr>
                  <pic:blipFill>
                    <a:blip r:embed="rId12"/>
                    <a:stretch>
                      <a:fillRect/>
                    </a:stretch>
                  </pic:blipFill>
                  <pic:spPr>
                    <a:xfrm>
                      <a:off x="0" y="0"/>
                      <a:ext cx="5760720" cy="2836273"/>
                    </a:xfrm>
                    <a:prstGeom prst="rect"/>
                  </pic:spPr>
                </pic:pic>
              </a:graphicData>
            </a:graphic>
          </wp:inline>
        </w:drawing>
      </w:r>
    </w:p>
    <w:p>
      <w:pPr>
        <w:jc w:val="center"/>
      </w:pPr>
      <w:r>
        <w:rPr>
          <w:i/>
          <w:sz w:val="18"/>
        </w:rPr>
        <w:t>Dashboard Control Room - parte superior</w:t>
      </w:r>
    </w:p>
    <w:p>
      <w:pPr>
        <w:jc w:val="center"/>
      </w:pPr>
      <w:r>
        <w:drawing>
          <wp:inline xmlns:a="http://schemas.openxmlformats.org/drawingml/2006/main" xmlns:pic="http://schemas.openxmlformats.org/drawingml/2006/picture">
            <wp:extent cx="5760720" cy="2836273"/>
            <wp:docPr id="5" name="Picture 5"/>
            <wp:cNvGraphicFramePr>
              <a:graphicFrameLocks noChangeAspect="1"/>
            </wp:cNvGraphicFramePr>
            <a:graphic>
              <a:graphicData uri="http://schemas.openxmlformats.org/drawingml/2006/picture">
                <pic:pic>
                  <pic:nvPicPr>
                    <pic:cNvPr id="0" name="dashboard_control_room_2.jpg"/>
                    <pic:cNvPicPr/>
                  </pic:nvPicPr>
                  <pic:blipFill>
                    <a:blip r:embed="rId13"/>
                    <a:stretch>
                      <a:fillRect/>
                    </a:stretch>
                  </pic:blipFill>
                  <pic:spPr>
                    <a:xfrm>
                      <a:off x="0" y="0"/>
                      <a:ext cx="5760720" cy="2836273"/>
                    </a:xfrm>
                    <a:prstGeom prst="rect"/>
                  </pic:spPr>
                </pic:pic>
              </a:graphicData>
            </a:graphic>
          </wp:inline>
        </w:drawing>
      </w:r>
    </w:p>
    <w:p>
      <w:pPr>
        <w:jc w:val="center"/>
      </w:pPr>
      <w:r>
        <w:rPr>
          <w:i/>
          <w:sz w:val="18"/>
        </w:rPr>
        <w:t>Dashboard Control Room - parte inferior</w:t>
      </w:r>
    </w:p>
    <w:p>
      <w:r>
        <w:t>Incluye, visibles al mismo tiempo:</w:t>
      </w:r>
    </w:p>
    <w:p>
      <w:pPr>
        <w:pStyle w:val="ListBullet"/>
      </w:pPr>
      <w:r>
        <w:t>Logo y nombre "ParkEasy UNAB" (no "IoT Central Application").</w:t>
      </w:r>
    </w:p>
    <w:p>
      <w:pPr>
        <w:pStyle w:val="ListBullet"/>
      </w:pPr>
      <w:r>
        <w:t>Mapa estático de zonas del parqueadero con los 10 orígenes marcados por color.</w:t>
      </w:r>
    </w:p>
    <w:p>
      <w:pPr>
        <w:pStyle w:val="ListBullet"/>
      </w:pPr>
      <w:r>
        <w:t>KPIs en vivo: último PM2.5 (13,30), cupos libres (4), temp. máx. del conector (24,91 °C).</w:t>
      </w:r>
    </w:p>
    <w:p>
      <w:pPr>
        <w:pStyle w:val="ListBullet"/>
      </w:pPr>
      <w:r>
        <w:t>4 gráficos de telemetría con datos reales: temperatura por slot, calidad de aire (PM2.5), ocupación de slots, energía del tablero (kWh).</w:t>
      </w:r>
    </w:p>
    <w:p>
      <w:pPr>
        <w:pStyle w:val="ListBullet"/>
      </w:pPr>
      <w:r>
        <w:t>Conteo de la flota (nota: actualmente restringido a un grupo de dispositivos por limitación de la consulta de IoT Central — ver detalle técnico abajo).</w:t>
      </w:r>
    </w:p>
    <w:p>
      <w:r>
        <w:rPr>
          <w:b/>
        </w:rPr>
        <w:t>Reglas activas (3):</w:t>
      </w:r>
    </w:p>
    <w:p>
      <w:pPr>
        <w:jc w:val="center"/>
      </w:pPr>
      <w:r>
        <w:drawing>
          <wp:inline xmlns:a="http://schemas.openxmlformats.org/drawingml/2006/main" xmlns:pic="http://schemas.openxmlformats.org/drawingml/2006/picture">
            <wp:extent cx="5760720" cy="2836273"/>
            <wp:docPr id="6" name="Picture 6"/>
            <wp:cNvGraphicFramePr>
              <a:graphicFrameLocks noChangeAspect="1"/>
            </wp:cNvGraphicFramePr>
            <a:graphic>
              <a:graphicData uri="http://schemas.openxmlformats.org/drawingml/2006/picture">
                <pic:pic>
                  <pic:nvPicPr>
                    <pic:cNvPr id="0" name="reglas.jpg"/>
                    <pic:cNvPicPr/>
                  </pic:nvPicPr>
                  <pic:blipFill>
                    <a:blip r:embed="rId14"/>
                    <a:stretch>
                      <a:fillRect/>
                    </a:stretch>
                  </pic:blipFill>
                  <pic:spPr>
                    <a:xfrm>
                      <a:off x="0" y="0"/>
                      <a:ext cx="5760720" cy="2836273"/>
                    </a:xfrm>
                    <a:prstGeom prst="rect"/>
                  </pic:spPr>
                </pic:pic>
              </a:graphicData>
            </a:graphic>
          </wp:inline>
        </w:drawing>
      </w:r>
    </w:p>
    <w:p>
      <w:pPr>
        <w:jc w:val="center"/>
      </w:pPr>
      <w:r>
        <w:rPr>
          <w:i/>
          <w:sz w:val="18"/>
        </w:rPr>
        <w:t>Reglas de ParkEasy UNAB</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Regla</w:t>
            </w:r>
          </w:p>
        </w:tc>
        <w:tc>
          <w:tcPr>
            <w:tcW w:type="dxa" w:w="2880"/>
          </w:tcPr>
          <w:p>
            <w:r>
              <w:rPr>
                <w:b/>
              </w:rPr>
            </w:r>
            <w:r>
              <w:rPr>
                <w:b/>
              </w:rPr>
              <w:t>Condición</w:t>
            </w:r>
          </w:p>
        </w:tc>
        <w:tc>
          <w:tcPr>
            <w:tcW w:type="dxa" w:w="2880"/>
          </w:tcPr>
          <w:p>
            <w:r>
              <w:rPr>
                <w:b/>
              </w:rPr>
            </w:r>
            <w:r>
              <w:rPr>
                <w:b/>
              </w:rPr>
              <w:t>Acción</w:t>
            </w:r>
          </w:p>
        </w:tc>
      </w:tr>
      <w:tr>
        <w:tc>
          <w:tcPr>
            <w:tcW w:type="dxa" w:w="2880"/>
          </w:tcPr>
          <w:p>
            <w:r/>
            <w:r>
              <w:t>Ocupación alta - Totem</w:t>
            </w:r>
          </w:p>
        </w:tc>
        <w:tc>
          <w:tcPr>
            <w:tcW w:type="dxa" w:w="2880"/>
          </w:tcPr>
          <w:p>
            <w:r/>
            <w:r>
              <w:rPr>
                <w:rFonts w:ascii="Consolas" w:hAnsi="Consolas"/>
              </w:rPr>
              <w:t>cupos_libres</w:t>
            </w:r>
            <w:r>
              <w:t xml:space="preserve"> &lt; 1</w:t>
            </w:r>
          </w:p>
        </w:tc>
        <w:tc>
          <w:tcPr>
            <w:tcW w:type="dxa" w:w="2880"/>
          </w:tcPr>
          <w:p>
            <w:r/>
            <w:r>
              <w:t>Correo electrónico</w:t>
            </w:r>
          </w:p>
        </w:tc>
      </w:tr>
      <w:tr>
        <w:tc>
          <w:tcPr>
            <w:tcW w:type="dxa" w:w="2880"/>
          </w:tcPr>
          <w:p>
            <w:r/>
            <w:r>
              <w:t>Sobretemperatura de carga</w:t>
            </w:r>
          </w:p>
        </w:tc>
        <w:tc>
          <w:tcPr>
            <w:tcW w:type="dxa" w:w="2880"/>
          </w:tcPr>
          <w:p>
            <w:r/>
            <w:r>
              <w:rPr>
                <w:rFonts w:ascii="Consolas" w:hAnsi="Consolas"/>
              </w:rPr>
              <w:t>temp_conector</w:t>
            </w:r>
            <w:r>
              <w:t xml:space="preserve"> &gt; 45</w:t>
            </w:r>
          </w:p>
        </w:tc>
        <w:tc>
          <w:tcPr>
            <w:tcW w:type="dxa" w:w="2880"/>
          </w:tcPr>
          <w:p>
            <w:r/>
            <w:r>
              <w:t>Correo electrónico</w:t>
            </w:r>
          </w:p>
        </w:tc>
      </w:tr>
      <w:tr>
        <w:tc>
          <w:tcPr>
            <w:tcW w:type="dxa" w:w="2880"/>
          </w:tcPr>
          <w:p>
            <w:r/>
            <w:r>
              <w:t>Calidad de aire crítica</w:t>
            </w:r>
          </w:p>
        </w:tc>
        <w:tc>
          <w:tcPr>
            <w:tcW w:type="dxa" w:w="2880"/>
          </w:tcPr>
          <w:p>
            <w:r/>
            <w:r>
              <w:rPr>
                <w:rFonts w:ascii="Consolas" w:hAnsi="Consolas"/>
              </w:rPr>
              <w:t>aqi</w:t>
            </w:r>
            <w:r>
              <w:t xml:space="preserve"> &gt; 100</w:t>
            </w:r>
          </w:p>
        </w:tc>
        <w:tc>
          <w:tcPr>
            <w:tcW w:type="dxa" w:w="2880"/>
          </w:tcPr>
          <w:p>
            <w:r/>
            <w:r>
              <w:t>Correo electrónico</w:t>
            </w:r>
          </w:p>
        </w:tc>
      </w:tr>
    </w:tbl>
    <w:p/>
    <w:p>
      <w:r>
        <w:rPr>
          <w:b/>
        </w:rPr>
        <w:t>Nota técnica:</w:t>
      </w:r>
      <w:r>
        <w:t xml:space="preserve"> el generador de "Grupos de dispositivos" de IoT Central combina condiciones con lógica </w:t>
      </w:r>
      <w:r>
        <w:rPr>
          <w:b/>
        </w:rPr>
        <w:t>Y</w:t>
      </w:r>
      <w:r>
        <w:t xml:space="preserve"> y solo admite un filtro obligatorio por "Plantilla de dispositivo" en la primera fila, sin operador "Contiene" ni "O" entre plantillas. Esto impide crear un grupo dinámico "los 10 dispositivos, sin importar plantilla" sin recurrir a la API REST de IoT Central. El KPI "Conteo de la flota" del dashboard queda por ahora limitado al grupo </w:t>
      </w:r>
      <w:r>
        <w:rPr>
          <w:rFonts w:ascii="Consolas" w:hAnsi="Consolas"/>
        </w:rPr>
        <w:t>ParkingSlot</w:t>
      </w:r>
      <w:r>
        <w:t xml:space="preserve"> (4 dispositivos); el número real (10) se documenta explícitamente aquí y en la sección 3.</w:t>
      </w:r>
    </w:p>
    <w:p>
      <w:pPr>
        <w:pStyle w:val="Heading2"/>
      </w:pPr>
      <w:r>
        <w:t>8. Repositorio</w:t>
      </w:r>
    </w:p>
    <w:p>
      <w:r>
        <w:t>Estructura de este repositorio:</w:t>
      </w:r>
    </w:p>
    <w:p>
      <w:r>
        <w:rPr>
          <w:rFonts w:ascii="Consolas" w:hAnsi="Consolas"/>
          <w:sz w:val="18"/>
        </w:rPr>
        <w:t>proyecto-parqueadero-unab/</w:t>
        <w:br/>
        <w:t xml:space="preserve">  dtdl/          Device Templates (DTDL v2) para importar en IoT Central</w:t>
        <w:br/>
        <w:t xml:space="preserve">  python/        Scripts de los orígenes Python/MQTT/REST/CSV</w:t>
        <w:br/>
        <w:t xml:space="preserve">  wokwi/         Dos proyectos Wokwi (dev04, dev09)</w:t>
        <w:br/>
        <w:t xml:space="preserve">  scheduler/     Lanzador PowerShell + plantilla de credenciales</w:t>
        <w:br/>
        <w:t xml:space="preserve">  data/          CSV de replay histórico</w:t>
        <w:br/>
        <w:t xml:space="preserve">  docs/          Este documento + guía de dashboard</w:t>
      </w:r>
    </w:p>
    <w:p>
      <w:r>
        <w:t>Credenciales solo por variable de entorno (</w:t>
      </w:r>
      <w:r>
        <w:rPr>
          <w:rFonts w:ascii="Consolas" w:hAnsi="Consolas"/>
        </w:rPr>
        <w:t>IOTC_ID_SCOPE</w:t>
      </w:r>
      <w:r>
        <w:t xml:space="preserve">, </w:t>
      </w:r>
      <w:r>
        <w:rPr>
          <w:rFonts w:ascii="Consolas" w:hAnsi="Consolas"/>
        </w:rPr>
        <w:t>IOTC_DEVICE_ID</w:t>
      </w:r>
      <w:r>
        <w:t xml:space="preserve">, </w:t>
      </w:r>
      <w:r>
        <w:rPr>
          <w:rFonts w:ascii="Consolas" w:hAnsi="Consolas"/>
        </w:rPr>
        <w:t>IOTC_DEVICE_KEY</w:t>
      </w:r>
      <w:r>
        <w:t xml:space="preserve">). </w:t>
      </w:r>
      <w:r>
        <w:rPr>
          <w:rFonts w:ascii="Consolas" w:hAnsi="Consolas"/>
        </w:rPr>
        <w:t>scheduler/devices.env.csv</w:t>
      </w:r>
      <w:r>
        <w:t xml:space="preserve"> con claves reales debe quedar en </w:t>
      </w:r>
      <w:r>
        <w:rPr>
          <w:rFonts w:ascii="Consolas" w:hAnsi="Consolas"/>
        </w:rPr>
        <w:t>.gitignore</w:t>
      </w:r>
      <w:r>
        <w:t xml:space="preserve"> y nunca subirse al repositorio público.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