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Charts</w:t>
      </w:r>
    </w:p>
    <w:p>
      <w:r>
        <w:t>Revenue by region:</w:t>
      </w:r>
    </w:p>
    <w:p>
      <w:r xmlns:a="http://schemas.openxmlformats.org/drawingml/2006/main" xmlns:c="http://schemas.openxmlformats.org/drawingml/2006/chart">
        <w:drawing>
          <wp:inline distT="0" distB="0" distL="0" distR="0">
            <wp:extent cx="457200" cy="457200"/>
            <wp:docPr id="101" name="Drawing 101"/>
            <wp:cNvGraphicFramePr>
              <a:graphicFrameLocks noChangeAspect="1"/>
            </wp:cNvGraphicFramePr>
            <a:graphic>
              <a:graphicData uri="http://schemas.openxmlformats.org/drawingml/2006/chart">
                <c:chart r:id="rId9"/>
              </a:graphicData>
            </a:graphic>
          </wp:inline>
        </w:drawing>
      </w:r>
    </w:p>
    <w:p>
      <w:r>
        <w:t>Share of costs:</w:t>
      </w:r>
    </w:p>
    <w:p>
      <w:r xmlns:a="http://schemas.openxmlformats.org/drawingml/2006/main" xmlns:c="http://schemas.openxmlformats.org/drawingml/2006/chart">
        <w:drawing>
          <wp:inline distT="0" distB="0" distL="0" distR="0">
            <wp:extent cx="457200" cy="457200"/>
            <wp:docPr id="102" name="Drawing 102"/>
            <wp:cNvGraphicFramePr>
              <a:graphicFrameLocks noChangeAspect="1"/>
            </wp:cNvGraphicFramePr>
            <a:graphic>
              <a:graphicData uri="http://schemas.openxmlformats.org/drawingml/2006/chart">
                <c:chart r:id="rId10"/>
              </a:graphicData>
            </a:graphic>
          </wp:inline>
        </w:drawing>
      </w:r>
    </w:p>
    <w:p>
      <w:r xmlns:a="http://schemas.openxmlformats.org/drawingml/2006/main" xmlns:c="http://schemas.openxmlformats.org/drawingml/2006/chart">
        <w:drawing>
          <wp:inline distT="0" distB="0" distL="0" distR="0">
            <wp:extent cx="457200" cy="457200"/>
            <wp:docPr id="103" name="Drawing 103"/>
            <wp:cNvGraphicFramePr>
              <a:graphicFrameLocks noChangeAspect="1"/>
            </wp:cNvGraphicFramePr>
            <a:graphic>
              <a:graphicData uri="http://schemas.openxmlformats.org/drawingml/2006/chart">
                <c:chart r:id="rId11"/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hart" Target="charts/chart1.xml"/><Relationship Id="rId10" Type="http://schemas.openxmlformats.org/officeDocument/2006/relationships/chart" Target="charts/chart2.xml"/><Relationship Id="rId11" Type="http://schemas.openxmlformats.org/officeDocument/2006/relationships/chart" Target="charts/chart3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title>
      <c:tx>
        <c:rich>
          <a:bodyPr/>
          <a:p>
            <a:r>
              <a:t>Revenue by region</a:t>
            </a:r>
          </a:p>
        </c:rich>
      </c:tx>
      <c:overlay val="0"/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North</c:v>
                </c:pt>
              </c:strCache>
            </c:strRef>
          </c:tx>
          <c:cat>
            <c:strRef>
              <c:f>Sheet1!$A$2:$A$4</c:f>
              <c:strCache>
                <c:ptCount val="3"/>
                <c:pt idx="0">
                  <c:v>Q1</c:v>
                </c:pt>
                <c:pt idx="1">
                  <c:v>Q2</c:v>
                </c:pt>
                <c:pt idx="2">
                  <c:v>Q3</c:v>
                </c:pt>
              </c:strCache>
            </c:strRef>
          </c:cat>
          <c:val>
            <c:numRef>
              <c:f>Sheet1!$B$2:$B$4</c:f>
              <c:numCache>
                <c:formatCode>General</c:formatCode>
                <c:ptCount val="3"/>
                <c:pt idx="0">
                  <c:v>12.5</c:v>
                </c:pt>
                <c:pt idx="1">
                  <c:v>14</c:v>
                </c:pt>
                <c:pt idx="2">
                  <c:v>15.25</c:v>
                </c:pt>
              </c:numCache>
            </c:numRef>
          </c:val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South</c:v>
                </c:pt>
              </c:strCache>
            </c:strRef>
          </c:tx>
          <c:cat>
            <c:strRef>
              <c:f>Sheet1!$A$2:$A$4</c:f>
              <c:strCache>
                <c:ptCount val="3"/>
                <c:pt idx="0">
                  <c:v>Q1</c:v>
                </c:pt>
                <c:pt idx="1">
                  <c:v>Q2</c:v>
                </c:pt>
                <c:pt idx="2">
                  <c:v>Q3</c:v>
                </c:pt>
              </c:strCache>
            </c:strRef>
          </c:cat>
          <c:val>
            <c:numRef>
              <c:f>Sheet1!$C$2:$C$4</c:f>
              <c:numCache>
                <c:formatCode>General</c:formatCode>
                <c:ptCount val="3"/>
                <c:pt idx="0">
                  <c:v>9</c:v>
                </c:pt>
                <c:pt idx="2">
                  <c:v>11</c:v>
                </c:pt>
              </c:numCache>
            </c:numRef>
          </c:val>
        </c:ser>
        <c:axId val="1001"/>
        <c:axId val="1002"/>
      </c:barChart>
      <c:catAx>
        <c:axId val="1001"/>
        <c:scaling>
          <c:orientation val="minMax"/>
        </c:scaling>
        <c:delete val="0"/>
        <c:axPos val="b"/>
        <c:crossAx val="1002"/>
      </c:catAx>
      <c:valAx>
        <c:axId val="1002"/>
        <c:scaling>
          <c:orientation val="minMax"/>
        </c:scaling>
        <c:delete val="0"/>
        <c:axPos val="l"/>
        <c:crossAx val="1001"/>
      </c:valAx>
    </c:plotArea>
    <c:plotVisOnly val="1"/>
  </c:chart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autoTitleDeleted val="1"/>
    <c:plotArea>
      <c:layout/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Share</c:v>
                </c:pt>
              </c:strCache>
            </c:strRef>
          </c:tx>
          <c:cat>
            <c:strRef>
              <c:f>Sheet1!$A$2:$A$4</c:f>
              <c:strCache>
                <c:ptCount val="3"/>
                <c:pt idx="0">
                  <c:v>Staff</c:v>
                </c:pt>
                <c:pt idx="1">
                  <c:v>Rent</c:v>
                </c:pt>
                <c:pt idx="2">
                  <c:v>Other</c:v>
                </c:pt>
              </c:strCache>
            </c:strRef>
          </c:cat>
          <c:val>
            <c:numRef>
              <c:f>Sheet1!$B$2:$B$4</c:f>
              <c:numCache>
                <c:formatCode>General</c:formatCode>
                <c:ptCount val="3"/>
                <c:pt idx="0">
                  <c:v>60</c:v>
                </c:pt>
                <c:pt idx="1">
                  <c:v>25</c:v>
                </c:pt>
                <c:pt idx="2">
                  <c:v>15</c:v>
                </c:pt>
              </c:numCache>
            </c:numRef>
          </c:val>
        </c:ser>
      </c:pieChart>
    </c:plotArea>
    <c:plotVisOnly val="1"/>
  </c:chart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title>
      <c:tx>
        <c:rich>
          <a:bodyPr/>
          <a:p>
            <a:r>
              <a:t>Trend</a:t>
            </a:r>
          </a:p>
        </c:rich>
      </c:tx>
      <c:overlay val="0"/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Index</c:v>
                </c:pt>
              </c:strCache>
            </c:strRef>
          </c:tx>
          <c:cat>
            <c:strRef>
              <c:f>Sheet1!$A$2:$A$5</c:f>
              <c:strCache>
                <c:ptCount val="4"/>
                <c:pt idx="0">
                  <c:v>Jan</c:v>
                </c:pt>
                <c:pt idx="1">
                  <c:v>Feb</c:v>
                </c:pt>
                <c:pt idx="2">
                  <c:v>Mar</c:v>
                </c:pt>
                <c:pt idx="3">
                  <c:v>Apr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1.5</c:v>
                </c:pt>
                <c:pt idx="1">
                  <c:v>2</c:v>
                </c:pt>
                <c:pt idx="2">
                  <c:v>2.75</c:v>
                </c:pt>
                <c:pt idx="3">
                  <c:v>3.25</c:v>
                </c:pt>
              </c:numCache>
            </c:numRef>
          </c:val>
        </c:ser>
        <c:marker val="1"/>
        <c:axId val="1001"/>
        <c:axId val="1002"/>
      </c:lineChart>
      <c:catAx>
        <c:axId val="1001"/>
        <c:scaling>
          <c:orientation val="minMax"/>
        </c:scaling>
        <c:delete val="0"/>
        <c:axPos val="b"/>
        <c:crossAx val="1002"/>
      </c:catAx>
      <c:valAx>
        <c:axId val="1002"/>
        <c:scaling>
          <c:orientation val="minMax"/>
        </c:scaling>
        <c:delete val="0"/>
        <c:axPos val="l"/>
        <c:crossAx val="1001"/>
      </c:valAx>
    </c:plotArea>
    <c:plotVisOnly val="1"/>
  </c:chart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