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Charts</w:t>
      </w:r>
    </w:p>
    <w:p>
      <w:pPr>
        <w:pStyle w:val="Normal"/>
        <w:rPr/>
      </w:pPr>
      <w:r>
        <w:rPr/>
        <w:t>Revenue by region:</w:t>
      </w:r>
    </w:p>
    <w:p>
      <w:pPr>
        <w:pStyle w:val="Normal"/>
        <w:rPr/>
      </w:pPr>
      <w:r>
        <w:rPr/>
        <w:drawing>
          <wp:inline distT="0" distB="0" distL="0" distR="0">
            <wp:extent cx="457200" cy="457200"/>
            <wp:effectExtent l="0" t="0" r="0" b="0"/>
            <wp:docPr id="1" name="Drawing 10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p>
      <w:pPr>
        <w:pStyle w:val="Normal"/>
        <w:rPr/>
      </w:pPr>
      <w:r>
        <w:rPr/>
        <w:t>Share of costs:</w:t>
      </w:r>
    </w:p>
    <w:p>
      <w:pPr>
        <w:pStyle w:val="Normal"/>
        <w:rPr/>
      </w:pPr>
      <w:r>
        <w:rPr/>
        <w:drawing>
          <wp:inline distT="0" distB="0" distL="0" distR="0">
            <wp:extent cx="457200" cy="457200"/>
            <wp:effectExtent l="0" t="0" r="0" b="0"/>
            <wp:docPr id="2" name="Drawing 10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drawing>
          <wp:inline distT="0" distB="0" distL="0" distR="0">
            <wp:extent cx="457200" cy="457200"/>
            <wp:effectExtent l="0" t="0" r="0" b="0"/>
            <wp:docPr id="3" name="Drawing 10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sz="1800" b="1" u="none" strike="noStrike">
                <a:solidFill>
                  <a:srgbClr val="000000"/>
                </a:solidFill>
                <a:uFillTx/>
                <a:latin typeface="Cambria"/>
              </a:rPr>
              <a:t>Revenue by region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4F81BD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Q1</c:v>
                </c:pt>
                <c:pt idx="1">
                  <c:v>Q2</c:v>
                </c:pt>
                <c:pt idx="2">
                  <c:v>Q3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12.5</c:v>
                </c:pt>
                <c:pt idx="1">
                  <c:v>14</c:v>
                </c:pt>
                <c:pt idx="2">
                  <c:v>15.25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rgbClr val="C0504D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Q1</c:v>
                </c:pt>
                <c:pt idx="1">
                  <c:v>Q2</c:v>
                </c:pt>
                <c:pt idx="2">
                  <c:v>Q3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3"/>
                <c:pt idx="0">
                  <c:v>9</c:v>
                </c:pt>
                <c:pt idx="2">
                  <c:v>11</c:v>
                </c:pt>
              </c:numCache>
            </c:numRef>
          </c:val>
        </c:ser>
        <c:gapWidth val="150"/>
        <c:overlap val="0"/>
        <c:axId val="32295168"/>
        <c:axId val="16802898"/>
      </c:barChart>
      <c:catAx>
        <c:axId val="32295168"/>
        <c:scaling>
          <c:orientation val="minMax"/>
        </c:scaling>
        <c:delete val="0"/>
        <c:axPos val="b"/>
        <c:numFmt formatCode="[$-409]mm/dd/yyyy" sourceLinked="1"/>
        <c:majorTickMark val="cross"/>
        <c:minorTickMark val="cross"/>
        <c:tickLblPos val="nextTo"/>
        <c:spPr>
          <a:ln w="9360">
            <a:solidFill>
              <a:srgbClr val="878787"/>
            </a:solidFill>
            <a:round/>
          </a:ln>
        </c:spPr>
        <c:txPr>
          <a:bodyPr/>
          <a:lstStyle/>
          <a:p>
            <a:pPr>
              <a:defRPr sz="1000" b="0" u="none" strike="noStrike">
                <a:solidFill>
                  <a:srgbClr val="000000"/>
                </a:solidFill>
                <a:uFillTx/>
                <a:latin typeface="Cambria"/>
              </a:defRPr>
            </a:pPr>
          </a:p>
        </c:txPr>
        <c:crossAx val="16802898"/>
        <c:crosses val="autoZero"/>
        <c:auto val="1"/>
        <c:lblAlgn val="ctr"/>
        <c:lblOffset val="100"/>
        <c:noMultiLvlLbl val="0"/>
      </c:catAx>
      <c:valAx>
        <c:axId val="16802898"/>
        <c:scaling>
          <c:orientation val="minMax"/>
        </c:scaling>
        <c:delete val="0"/>
        <c:axPos val="l"/>
        <c:numFmt formatCode="General" sourceLinked="1"/>
        <c:majorTickMark val="cross"/>
        <c:minorTickMark val="cross"/>
        <c:tickLblPos val="nextTo"/>
        <c:spPr>
          <a:ln w="9360">
            <a:solidFill>
              <a:srgbClr val="878787"/>
            </a:solidFill>
            <a:round/>
          </a:ln>
        </c:spPr>
        <c:txPr>
          <a:bodyPr/>
          <a:lstStyle/>
          <a:p>
            <a:pPr>
              <a:defRPr sz="1000" b="0" u="none" strike="noStrike">
                <a:solidFill>
                  <a:srgbClr val="000000"/>
                </a:solidFill>
                <a:uFillTx/>
                <a:latin typeface="Cambria"/>
              </a:defRPr>
            </a:pPr>
          </a:p>
        </c:txPr>
        <c:crossAx val="32295168"/>
        <c:crosses val="autoZero"/>
        <c:crossBetween val="between"/>
      </c:valAx>
      <c:spPr>
        <a:solidFill>
          <a:srgbClr val="FFFFFF"/>
        </a:solidFill>
        <a:ln w="0">
          <a:noFill/>
        </a:ln>
      </c:spPr>
    </c:plotArea>
    <c:plotVisOnly val="1"/>
    <c:dispBlanksAs val="zero"/>
  </c:chart>
  <c:spPr>
    <a:solidFill>
      <a:srgbClr val="FFFFFF"/>
    </a:solidFill>
    <a:ln w="9360">
      <a:solidFill>
        <a:srgbClr val="D9D9D9"/>
      </a:solidFill>
      <a:round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autoTitleDeleted val="1"/>
    <c:plotArea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Share</c:v>
                </c:pt>
              </c:strCache>
            </c:strRef>
          </c:tx>
          <c:spPr>
            <a:solidFill>
              <a:srgbClr val="4F81BD"/>
            </a:solidFill>
            <a:ln w="0">
              <a:noFill/>
            </a:ln>
          </c:spPr>
          <c:explosion val="0"/>
          <c:dPt>
            <c:idx val="0"/>
            <c:spPr>
              <a:solidFill>
                <a:srgbClr val="4F81BD"/>
              </a:solidFill>
              <a:ln w="0">
                <a:noFill/>
              </a:ln>
            </c:spPr>
          </c:dPt>
          <c:dPt>
            <c:idx val="1"/>
            <c:spPr>
              <a:solidFill>
                <a:srgbClr val="C0504D"/>
              </a:solidFill>
              <a:ln w="0">
                <a:noFill/>
              </a:ln>
            </c:spPr>
          </c:dPt>
          <c:dPt>
            <c:idx val="2"/>
            <c:spPr>
              <a:solidFill>
                <a:srgbClr val="9BBB59"/>
              </a:solidFill>
              <a:ln w="0">
                <a:noFill/>
              </a:ln>
            </c:spPr>
          </c:dPt>
          <c:dLbls>
            <c:dLbl>
              <c:idx val="0"/>
              <c:txPr>
                <a:bodyPr wrap="none"/>
                <a:lstStyle/>
                <a:p>
                  <a:pPr>
                    <a:defRPr sz="1000" b="0" u="none" strike="noStrike">
                      <a:uFillTx/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1"/>
              <c:txPr>
                <a:bodyPr wrap="none"/>
                <a:lstStyle/>
                <a:p>
                  <a:pPr>
                    <a:defRPr sz="1000" b="0" u="none" strike="noStrike">
                      <a:uFillTx/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2"/>
              <c:txPr>
                <a:bodyPr wrap="none"/>
                <a:lstStyle/>
                <a:p>
                  <a:pPr>
                    <a:defRPr sz="1000" b="0" u="none" strike="noStrike">
                      <a:uFillTx/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</c:dLbls>
          <c:cat>
            <c:strRef>
              <c:f>categories</c:f>
              <c:strCache>
                <c:ptCount val="3"/>
                <c:pt idx="0">
                  <c:v>Staff</c:v>
                </c:pt>
                <c:pt idx="1">
                  <c:v>Rent</c:v>
                </c:pt>
                <c:pt idx="2">
                  <c:v>Other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60</c:v>
                </c:pt>
                <c:pt idx="1">
                  <c:v>25</c:v>
                </c:pt>
                <c:pt idx="2">
                  <c:v>15</c:v>
                </c:pt>
              </c:numCache>
            </c:numRef>
          </c:val>
        </c:ser>
        <c:firstSliceAng val="0"/>
      </c:pieChart>
      <c:spPr>
        <a:solidFill>
          <a:srgbClr val="FFFFFF"/>
        </a:solidFill>
        <a:ln w="0">
          <a:noFill/>
        </a:ln>
      </c:spPr>
    </c:plotArea>
    <c:plotVisOnly val="1"/>
    <c:dispBlanksAs val="zero"/>
  </c:chart>
  <c:spPr>
    <a:solidFill>
      <a:srgbClr val="FFFFFF"/>
    </a:solidFill>
    <a:ln w="9360">
      <a:solidFill>
        <a:srgbClr val="D9D9D9"/>
      </a:solidFill>
      <a:round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sz="1800" b="1" u="none" strike="noStrike">
                <a:solidFill>
                  <a:srgbClr val="000000"/>
                </a:solidFill>
                <a:uFillTx/>
                <a:latin typeface="Cambria"/>
              </a:rPr>
              <a:t>Trend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Index</c:v>
                </c:pt>
              </c:strCache>
            </c:strRef>
          </c:tx>
          <c:spPr>
            <a:solidFill>
              <a:srgbClr val="4A7EBB"/>
            </a:solidFill>
            <a:ln w="28440">
              <a:solidFill>
                <a:srgbClr val="4A7EBB"/>
              </a:solidFill>
              <a:round/>
            </a:ln>
          </c:spPr>
          <c:dLbls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1.5</c:v>
                </c:pt>
                <c:pt idx="1">
                  <c:v>2</c:v>
                </c:pt>
                <c:pt idx="2">
                  <c:v>2.75</c:v>
                </c:pt>
                <c:pt idx="3">
                  <c:v>3.25</c:v>
                </c:pt>
              </c:numCache>
            </c:numRef>
          </c:val>
          <c:smooth val="1"/>
        </c:ser>
        <c:hiLowLines>
          <c:spPr>
            <a:ln w="0">
              <a:noFill/>
            </a:ln>
          </c:spPr>
        </c:hiLowLines>
        <c:marker val="1"/>
        <c:axId val="72971927"/>
        <c:axId val="53951752"/>
      </c:lineChart>
      <c:catAx>
        <c:axId val="72971927"/>
        <c:scaling>
          <c:orientation val="minMax"/>
        </c:scaling>
        <c:delete val="0"/>
        <c:axPos val="b"/>
        <c:numFmt formatCode="[$-409]mm/dd/yyyy" sourceLinked="1"/>
        <c:majorTickMark val="cross"/>
        <c:minorTickMark val="cross"/>
        <c:tickLblPos val="nextTo"/>
        <c:spPr>
          <a:ln w="9360">
            <a:solidFill>
              <a:srgbClr val="878787"/>
            </a:solidFill>
            <a:round/>
          </a:ln>
        </c:spPr>
        <c:txPr>
          <a:bodyPr/>
          <a:lstStyle/>
          <a:p>
            <a:pPr>
              <a:defRPr sz="1000" b="0" u="none" strike="noStrike">
                <a:solidFill>
                  <a:srgbClr val="000000"/>
                </a:solidFill>
                <a:uFillTx/>
                <a:latin typeface="Cambria"/>
              </a:defRPr>
            </a:pPr>
          </a:p>
        </c:txPr>
        <c:crossAx val="53951752"/>
        <c:crosses val="autoZero"/>
        <c:auto val="1"/>
        <c:lblAlgn val="ctr"/>
        <c:lblOffset val="100"/>
        <c:noMultiLvlLbl val="0"/>
      </c:catAx>
      <c:valAx>
        <c:axId val="53951752"/>
        <c:scaling>
          <c:orientation val="minMax"/>
        </c:scaling>
        <c:delete val="0"/>
        <c:axPos val="l"/>
        <c:numFmt formatCode="General" sourceLinked="1"/>
        <c:majorTickMark val="cross"/>
        <c:minorTickMark val="cross"/>
        <c:tickLblPos val="nextTo"/>
        <c:spPr>
          <a:ln w="9360">
            <a:solidFill>
              <a:srgbClr val="878787"/>
            </a:solidFill>
            <a:round/>
          </a:ln>
        </c:spPr>
        <c:txPr>
          <a:bodyPr/>
          <a:lstStyle/>
          <a:p>
            <a:pPr>
              <a:defRPr sz="1000" b="0" u="none" strike="noStrike">
                <a:solidFill>
                  <a:srgbClr val="000000"/>
                </a:solidFill>
                <a:uFillTx/>
                <a:latin typeface="Cambria"/>
              </a:defRPr>
            </a:pPr>
          </a:p>
        </c:txPr>
        <c:crossAx val="72971927"/>
        <c:crosses val="autoZero"/>
        <c:crossBetween val="between"/>
      </c:valAx>
      <c:spPr>
        <a:solidFill>
          <a:srgbClr val="FFFFFF"/>
        </a:solidFill>
        <a:ln w="0">
          <a:noFill/>
        </a:ln>
      </c:spPr>
    </c:plotArea>
    <c:plotVisOnly val="1"/>
    <c:dispBlanksAs val="zero"/>
  </c:chart>
  <c:spPr>
    <a:solidFill>
      <a:srgbClr val="FFFFFF"/>
    </a:solidFill>
    <a:ln w="9360">
      <a:solidFill>
        <a:srgbClr val="D9D9D9"/>
      </a:solidFill>
      <a:round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LibreOffice/26.8.1.1$Linux_X86_64 LibreOffice_project/680$Build-1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